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rFonts w:ascii="Times New Roman" w:hAnsi="Times New Roman"/>
          <w:sz w:val="22"/>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23 September 2026. Results status: 2,367 source rows had been reconciled into 1,877 provisional identities; the full unique register has now received a record-level dual title/metadata screen, yielding 1,581 clear exclusions and 296 provisional full-text candidates. The exact retained-ID queue is now reconstructed and recorded in the screening reconciliation register.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sz w:val="22"/>
        </w:rPr>
        <w:t>STATUS NOTE - 23 September 2026: Gate C is closed at the unique-register denominator level after the true uncovered range CAN-0341-CAN-0380 was screened. The earlier B19 pass on CAN-0241-CAN-0280 was a duplicate-range audit/retrieval pilot and is not counted as 40 new identities. The B20 pass screened CAN-0341-CAN-0380: R1 retained 4 and excluded 36; R2 retained 4 and excluded 36; one two-record decision swap was adjudicated conservatively as CAN-0344, CAN-0356, CAN-0359 and CAN-0379 retained, with CAN-0345 excluded after source verification. The unique-register aggregate is therefore 1,877 screened, 1,581 clear exclusions and 296 provisional full-text candidates. A fresh record-level R1/R2 reconstruction now covers the full register; the resulting 296-ID queue is auditable for retrieval, while full-text eligibility remains open. Gates D-J remain incomplete; no final included-study count, PRISMA flow, extraction, risk-of-bias, certainty or SWiM synthesis is claimed.</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rFonts w:ascii="Times New Roman" w:hAnsi="Times New Roman"/>
          <w:sz w:val="22"/>
        </w:rPr>
        <w:t>Records were reconciled using symmetric DOI, PMID, or exact normalised title-plus-year matching. The operational audit produced 1,877 provisional identity groups from 2,367 source rows, with 490 collapsed duplicate rows. The controlled unique title/metadata-screening denominator is therefore 1,877. R1 and R2 independently screened and adjudicated the 40-record pilot, B1-B18 and the true B20 gap CAN-0341-CAN-0380. The earlier B19 pass on CAN-0241-CAN-0280 is retained as a duplicate-range retrieval/extraction pilot only and contributes no new screening identities. B20 had 4 retained and 36 excluded after one two-record decision swap was adjudicated conservatively. Across the unique register, the aggregate status is 1,877 screened, 1,581 clear exclusions and 296 provisional full-text candidates. The exact record-level R1/R2 adjudication lists are now recorded in the reconciliation register; retention remains provisional until full-text eligibility is assessed.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rFonts w:ascii="Times New Roman" w:hAnsi="Times New Roman"/>
          <w:sz w:val="22"/>
        </w:rPr>
        <w:t>The evidence synthesis is not complete. Gate C is closed for the full unique register: 1,877 records have record-level title/metadata dispositions, with 1,581 exclusions and 296 provisional full-text candidates. Gate D full-text eligibility remains open. Gates D-J have not been completed. This version consequently does not report a final PRISMA flow diagram, an included-study set, study-level results, pooled estimates, certainty grades, or review conclusions. Such outputs require retained-ID reconciliation, full-text assessment, extraction, appraisal, synthesis and final reporting audit.</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rFonts w:ascii="Times New Roman" w:hAnsi="Times New Roman"/>
          <w:sz w:val="22"/>
        </w:rPr>
        <w:t>Operational snapshot: 23 September 2026. This appendix records the evidence boundary and search/record-management status for this submission-stage document, including the corrected B20 gap closure and the duplicate-range B19 retrieval pilot.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rFonts w:ascii="Times New Roman" w:hAnsi="Times New Roman"/>
          <w:sz w:val="22"/>
        </w:rPr>
        <w:t>The canonical register reports 2,367 source rows, 1,877 provisional identity groups and 490 collapsed duplicate rows. The controlled unique title/metadata-screening denominator is 1,877. The pilot, B1-B18 and B20 were screened through the dual-review workflow; B19 was a duplicate-range audit on CAN-0241-CAN-0280 and is not additive. The resulting record-level status is 1,877 screened, 1,581 clear exclusions and 296 provisional full-text candidates. These outcomes do not finalise study inclusion or PRISMA counts. The exact retained-ID queue is now recorded;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rPr>
                <w:rFonts w:ascii="Times New Roman" w:hAnsi="Times New Roman"/>
                <w:sz w:val="20"/>
              </w:rPr>
              <w:t>Closed at unique-register coverage level but retained-ID audit remains open - 1,877 unique records screened in aggregate: 1,581 clear exclusions and 296 provisional full-text candidates. The B19 duplicate-range pilot is non-additive; exact retained IDs from earlier batches still require reconstruction.</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rPr>
                <w:rFonts w:ascii="Times New Roman" w:hAnsi="Times New Roman"/>
                <w:sz w:val="20"/>
              </w:rPr>
              <w:t>Pending - 296 provisional candidates await full-text assessment after the retained-ID queue is reconstructed;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sz w:val="22"/>
        </w:rPr>
        <w:t>Dated 23 September 2026. This appendix supersedes no source record: it consolidates the current gate state for this submission-stage status report, including the Batch B4-B20 title/metadata updates and the B19 duplicate-range retrieval/extraction pilot.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sz w:val="20"/>
              </w:rPr>
              <w:t>Aggregate unique-register screening covered 1,877 records: 1,581 exclusions and 296 provisional full-text candidates. B19 was a duplicate-range audit; exact earlier retained IDs still require reconstruction.</w:t>
            </w:r>
          </w:p>
        </w:tc>
        <w:tc>
          <w:tcPr>
            <w:tcW w:type="dxa" w:w="3120"/>
            <w:vAlign w:val="top"/>
          </w:tcPr>
          <w:p>
            <w:r>
              <w:rPr>
                <w:rFonts w:ascii="Times New Roman" w:hAnsi="Times New Roman"/>
                <w:sz w:val="20"/>
              </w:rPr>
              <w:t>B20 true gap CAN-0341-CAN-0380 closed; full-text queue not yet auditable.</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rPr>
                <w:rFonts w:ascii="Times New Roman" w:hAnsi="Times New Roman"/>
                <w:sz w:val="20"/>
              </w:rPr>
              <w:t>Cumulative unique register through B20 (B19 duplicate audit non-additive)</w:t>
            </w:r>
          </w:p>
        </w:tc>
        <w:tc>
          <w:tcPr>
            <w:tcW w:type="dxa" w:w="3120"/>
          </w:tcPr>
          <w:p>
            <w:r>
              <w:rPr>
                <w:rFonts w:ascii="Times New Roman" w:hAnsi="Times New Roman"/>
                <w:sz w:val="20"/>
              </w:rPr>
              <w:t>1,877 screened; 1,581 excluded; 296 provisional full-text candidates</w:t>
            </w:r>
          </w:p>
        </w:tc>
        <w:tc>
          <w:tcPr>
            <w:tcW w:type="dxa" w:w="3120"/>
          </w:tcPr>
          <w:p>
            <w:r>
              <w:rPr>
                <w:rFonts w:ascii="Times New Roman" w:hAnsi="Times New Roman"/>
                <w:sz w:val="20"/>
              </w:rPr>
              <w:t>Aggregate title/metadata coverage only. Exact retained-ID reconstruction for earlier batches,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sz w:val="20"/>
              </w:rPr>
              <w:t>Ready; 1,877 records have aggregate title/metadata dispositions, but the exact retained-ID queue from earlier batches must be reconstructed.</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sz w:val="20"/>
              </w:rPr>
              <w:t>Ready; 296 provisional candidates await full-text assessment; no final full-text decisions.</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sz w:val="22"/>
        </w:rPr>
        <w:t>Next controlled action: build and verify the 296-record full-text retrieval queue from the adjudicated record-level register, without double counting the B19 duplicate-range pilot. Perform dual-review full-text eligibility with explicit exclusion reasons, legitimate retrieval-failure documentation and dataset-linkage checks. Do not begin wider extraction or risk-of-bias appraisal until full-text eligibility is fixed; do not claim a final PRISMA flow, included-study count, certainty finding or SWiM synthesis until those gates are complete.</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rPr>
          <w:rFonts w:ascii="Times New Roman" w:hAnsi="Times New Roman"/>
          <w:sz w:val="22"/>
        </w:rPr>
        <w:t>B19. Duplicate-range audit and retrieval pilot</w:t>
      </w:r>
    </w:p>
    <w:p>
      <w:r>
        <w:rPr>
          <w:rFonts w:ascii="Times New Roman" w:hAnsi="Times New Roman"/>
          <w:sz w:val="22"/>
        </w:rPr>
        <w:t>The earlier B19 pass screened CAN-0241-CAN-0280, a range already covered by B3. It therefore contributes zero new unique identities and must not be added to the 1,877-record denominator. Its 8-record retrieval/extraction pilot remains useful as a method calibration, but its provisional exclusions and retains are not new B19 screening counts. The true uncovered range was CAN-0341-CAN-0380 and is recorded below as B20.</w:t>
      </w:r>
    </w:p>
    <w:p>
      <w:pPr>
        <w:pStyle w:val="Heading2"/>
      </w:pPr>
      <w:r>
        <w:t>B19 full-text retrieval and eligibility pilot</w:t>
      </w:r>
    </w:p>
    <w:p>
      <w:r>
        <w:rPr>
          <w:rFonts w:ascii="Times New Roman" w:hAnsi="Times New Roman"/>
          <w:sz w:val="22"/>
        </w:rPr>
        <w:t>A targeted evidence pilot was conducted on eight records from the duplicate-range B19 audit using PubMed, institutional repositories, an open full-text article, and an institutional dissertation record. This pilot does not change the 296-record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t>Candidate</w:t>
            </w:r>
          </w:p>
        </w:tc>
        <w:tc>
          <w:tcPr>
            <w:tcW w:type="dxa" w:w="2340"/>
          </w:tcPr>
          <w:p>
            <w:r>
              <w:t>Evidence located</w:t>
            </w:r>
          </w:p>
        </w:tc>
        <w:tc>
          <w:tcPr>
            <w:tcW w:type="dxa" w:w="2340"/>
          </w:tcPr>
          <w:p>
            <w:r>
              <w:t>Pilot disposition</w:t>
            </w:r>
          </w:p>
        </w:tc>
        <w:tc>
          <w:tcPr>
            <w:tcW w:type="dxa" w:w="2340"/>
          </w:tcPr>
          <w:p>
            <w:r>
              <w:t>Next action</w:t>
            </w:r>
          </w:p>
        </w:tc>
      </w:tr>
      <w:tr>
        <w:tc>
          <w:tcPr>
            <w:tcW w:type="dxa" w:w="2340"/>
          </w:tcPr>
          <w:p>
            <w:r>
              <w:t>CAN-0243</w:t>
            </w:r>
          </w:p>
        </w:tc>
        <w:tc>
          <w:tcPr>
            <w:tcW w:type="dxa" w:w="2340"/>
          </w:tcPr>
          <w:p>
            <w:r>
              <w:t>PubMed abstract; DOI 10.1016/j.prevetmed.2010.11.007</w:t>
            </w:r>
          </w:p>
        </w:tc>
        <w:tc>
          <w:tcPr>
            <w:tcW w:type="dxa" w:w="2340"/>
          </w:tcPr>
          <w:p>
            <w:r>
              <w:t>Retain for full-text eligibility; Nigeria case-control evidence is supported.</w:t>
            </w:r>
          </w:p>
        </w:tc>
        <w:tc>
          <w:tcPr>
            <w:tcW w:type="dxa" w:w="2340"/>
          </w:tcPr>
          <w:p>
            <w:r>
              <w:t>Retrieve article; extract design, sample, exposures and estimates.</w:t>
            </w:r>
          </w:p>
        </w:tc>
      </w:tr>
      <w:tr>
        <w:tc>
          <w:tcPr>
            <w:tcW w:type="dxa" w:w="2340"/>
          </w:tcPr>
          <w:p>
            <w:r>
              <w:t>CAN-0244</w:t>
            </w:r>
          </w:p>
        </w:tc>
        <w:tc>
          <w:tcPr>
            <w:tcW w:type="dxa" w:w="2340"/>
          </w:tcPr>
          <w:p>
            <w:r>
              <w:t>Open institutional PDF; DOI 10.1016/j.prevetmed.2011.10.001</w:t>
            </w:r>
          </w:p>
        </w:tc>
        <w:tc>
          <w:tcPr>
            <w:tcW w:type="dxa" w:w="2340"/>
          </w:tcPr>
          <w:p>
            <w:r>
              <w:t>Retain for full-text eligibility; Nigeria spatio-temporal outbreak evidence is supported.</w:t>
            </w:r>
          </w:p>
        </w:tc>
        <w:tc>
          <w:tcPr>
            <w:tcW w:type="dxa" w:w="2340"/>
          </w:tcPr>
          <w:p>
            <w:r>
              <w:t>Check full text for dataset overlap and extract spatial/temporal methods.</w:t>
            </w:r>
          </w:p>
        </w:tc>
      </w:tr>
      <w:tr>
        <w:tc>
          <w:tcPr>
            <w:tcW w:type="dxa" w:w="2340"/>
          </w:tcPr>
          <w:p>
            <w:r>
              <w:t>CAN-0245</w:t>
            </w:r>
          </w:p>
        </w:tc>
        <w:tc>
          <w:tcPr>
            <w:tcW w:type="dxa" w:w="2340"/>
          </w:tcPr>
          <w:p>
            <w:r>
              <w:t>Institutional dissertation record; DOI 10.1016/j.prevetmed.2014.04.003</w:t>
            </w:r>
          </w:p>
        </w:tc>
        <w:tc>
          <w:tcPr>
            <w:tcW w:type="dxa" w:w="2340"/>
          </w:tcPr>
          <w:p>
            <w:r>
              <w:t>Retrieval unresolved; title supports Nigeria risk-assessment relevance.</w:t>
            </w:r>
          </w:p>
        </w:tc>
        <w:tc>
          <w:tcPr>
            <w:tcW w:type="dxa" w:w="2340"/>
          </w:tcPr>
          <w:p>
            <w:r>
              <w:t>Retrieve dissertation/full text and confirm primary data and eligibility.</w:t>
            </w:r>
          </w:p>
        </w:tc>
      </w:tr>
      <w:tr>
        <w:tc>
          <w:tcPr>
            <w:tcW w:type="dxa" w:w="2340"/>
          </w:tcPr>
          <w:p>
            <w:r>
              <w:t>CAN-0246</w:t>
            </w:r>
          </w:p>
        </w:tc>
        <w:tc>
          <w:tcPr>
            <w:tcW w:type="dxa" w:w="2340"/>
          </w:tcPr>
          <w:p>
            <w:r>
              <w:t>Open RVC manuscript PDF and PubMed abstract; DOI 10.1016/j.prevetmed.2016.05.003</w:t>
            </w:r>
          </w:p>
        </w:tc>
        <w:tc>
          <w:tcPr>
            <w:tcW w:type="dxa" w:w="2340"/>
          </w:tcPr>
          <w:p>
            <w:r>
              <w:t>Retain for full-text eligibility; Nigeria passive-surveillance study is supported.</w:t>
            </w:r>
          </w:p>
        </w:tc>
        <w:tc>
          <w:tcPr>
            <w:tcW w:type="dxa" w:w="2340"/>
          </w:tcPr>
          <w:p>
            <w:r>
              <w:t>Verify manuscript version against final article and extract model inputs/results.</w:t>
            </w:r>
          </w:p>
        </w:tc>
      </w:tr>
      <w:tr>
        <w:tc>
          <w:tcPr>
            <w:tcW w:type="dxa" w:w="2340"/>
          </w:tcPr>
          <w:p>
            <w:r>
              <w:t>CAN-0258</w:t>
            </w:r>
          </w:p>
        </w:tc>
        <w:tc>
          <w:tcPr>
            <w:tcW w:type="dxa" w:w="2340"/>
          </w:tcPr>
          <w:p>
            <w:r>
              <w:t>PubMed/PMC full text; DOI 10.1016/j.psj.2022.102156</w:t>
            </w:r>
          </w:p>
        </w:tc>
        <w:tc>
          <w:tcPr>
            <w:tcW w:type="dxa" w:w="2340"/>
          </w:tcPr>
          <w:p>
            <w:r>
              <w:t>Provisional full-text exclusion: study is based in Egypt, not Nigeria.</w:t>
            </w:r>
          </w:p>
        </w:tc>
        <w:tc>
          <w:tcPr>
            <w:tcW w:type="dxa" w:w="2340"/>
          </w:tcPr>
          <w:p>
            <w:r>
              <w:t>Record final exclusion after duplicate check; do not include in Nigeria synthesis.</w:t>
            </w:r>
          </w:p>
        </w:tc>
      </w:tr>
      <w:tr>
        <w:tc>
          <w:tcPr>
            <w:tcW w:type="dxa" w:w="2340"/>
          </w:tcPr>
          <w:p>
            <w:r>
              <w:t>CAN-0266</w:t>
            </w:r>
          </w:p>
        </w:tc>
        <w:tc>
          <w:tcPr>
            <w:tcW w:type="dxa" w:w="2340"/>
          </w:tcPr>
          <w:p>
            <w:r>
              <w:t>PubMed record; DOI 10.1016/j.rvsc.2018.06.006</w:t>
            </w:r>
          </w:p>
        </w:tc>
        <w:tc>
          <w:tcPr>
            <w:tcW w:type="dxa" w:w="2340"/>
          </w:tcPr>
          <w:p>
            <w:r>
              <w:t>Retain for full-text eligibility; Nigeria surveillance/control cost assessment is supported.</w:t>
            </w:r>
          </w:p>
        </w:tc>
        <w:tc>
          <w:tcPr>
            <w:tcW w:type="dxa" w:w="2340"/>
          </w:tcPr>
          <w:p>
            <w:r>
              <w:t>Retrieve article and confirm whether eligible epidemiologic inputs are extractable.</w:t>
            </w:r>
          </w:p>
        </w:tc>
      </w:tr>
      <w:tr>
        <w:tc>
          <w:tcPr>
            <w:tcW w:type="dxa" w:w="2340"/>
          </w:tcPr>
          <w:p>
            <w:r>
              <w:t>CAN-0269</w:t>
            </w:r>
          </w:p>
        </w:tc>
        <w:tc>
          <w:tcPr>
            <w:tcW w:type="dxa" w:w="2340"/>
          </w:tcPr>
          <w:p>
            <w:r>
              <w:t>Open institutional full text; DOI 10.1016/j.scitotenv.2024.173692</w:t>
            </w:r>
          </w:p>
        </w:tc>
        <w:tc>
          <w:tcPr>
            <w:tcW w:type="dxa" w:w="2340"/>
          </w:tcPr>
          <w:p>
            <w:r>
              <w:t>Provisional full-text exclusion: article identifies itself as a review, not primary Nigeria evidence.</w:t>
            </w:r>
          </w:p>
        </w:tc>
        <w:tc>
          <w:tcPr>
            <w:tcW w:type="dxa" w:w="2340"/>
          </w:tcPr>
          <w:p>
            <w:r>
              <w:t>Record final exclusion after duplicate check.</w:t>
            </w:r>
          </w:p>
        </w:tc>
      </w:tr>
      <w:tr>
        <w:tc>
          <w:tcPr>
            <w:tcW w:type="dxa" w:w="2340"/>
          </w:tcPr>
          <w:p>
            <w:r>
              <w:t>CAN-0275</w:t>
            </w:r>
          </w:p>
        </w:tc>
        <w:tc>
          <w:tcPr>
            <w:tcW w:type="dxa" w:w="2340"/>
          </w:tcPr>
          <w:p>
            <w:r>
              <w:t>PubMed abstract; DOI 10.1016/j.trstmh.2008.01.016</w:t>
            </w:r>
          </w:p>
        </w:tc>
        <w:tc>
          <w:tcPr>
            <w:tcW w:type="dxa" w:w="2340"/>
          </w:tcPr>
          <w:p>
            <w:r>
              <w:t>Retain for full-text eligibility; Nigeria/West Africa ecological modelling is supported.</w:t>
            </w:r>
          </w:p>
        </w:tc>
        <w:tc>
          <w:tcPr>
            <w:tcW w:type="dxa" w:w="2340"/>
          </w:tcPr>
          <w:p>
            <w: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Candidate</w:t>
            </w:r>
          </w:p>
        </w:tc>
        <w:tc>
          <w:tcPr>
            <w:tcW w:type="dxa" w:w="1872"/>
          </w:tcPr>
          <w:p>
            <w:r>
              <w:t>Evidence level</w:t>
            </w:r>
          </w:p>
        </w:tc>
        <w:tc>
          <w:tcPr>
            <w:tcW w:type="dxa" w:w="1872"/>
          </w:tcPr>
          <w:p>
            <w:r>
              <w:t>Design/setting</w:t>
            </w:r>
          </w:p>
        </w:tc>
        <w:tc>
          <w:tcPr>
            <w:tcW w:type="dxa" w:w="1872"/>
          </w:tcPr>
          <w:p>
            <w:r>
              <w:t>Population or data</w:t>
            </w:r>
          </w:p>
        </w:tc>
        <w:tc>
          <w:tcPr>
            <w:tcW w:type="dxa" w:w="1872"/>
          </w:tcPr>
          <w:p>
            <w:r>
              <w:t>Extracted result / pending item</w:t>
            </w:r>
          </w:p>
        </w:tc>
      </w:tr>
      <w:tr>
        <w:tc>
          <w:tcPr>
            <w:tcW w:type="dxa" w:w="1872"/>
          </w:tcPr>
          <w:p>
            <w:r>
              <w:t>CAN-0243</w:t>
            </w:r>
          </w:p>
        </w:tc>
        <w:tc>
          <w:tcPr>
            <w:tcW w:type="dxa" w:w="1872"/>
          </w:tcPr>
          <w:p>
            <w:r>
              <w:t>PubMed abstract</w:t>
            </w:r>
          </w:p>
        </w:tc>
        <w:tc>
          <w:tcPr>
            <w:tcW w:type="dxa" w:w="1872"/>
          </w:tcPr>
          <w:p>
            <w:r>
              <w:t>Matched case-control; Nigerian poultry farms, 2006–2007 H5N1 epidemic.</w:t>
            </w:r>
          </w:p>
        </w:tc>
        <w:tc>
          <w:tcPr>
            <w:tcW w:type="dxa" w:w="1872"/>
          </w:tcPr>
          <w:p>
            <w:r>
              <w:t>32 case farms; 83 control farms.</w:t>
            </w:r>
          </w:p>
        </w:tc>
        <w:tc>
          <w:tcPr>
            <w:tcW w:type="dxa" w:w="1872"/>
          </w:tcPr>
          <w:p>
            <w:r>
              <w:t>Visitors, purchased live poultry/products, and workers living off-farm were reported risk factors; retrieve article for sampling and model details.</w:t>
            </w:r>
          </w:p>
        </w:tc>
      </w:tr>
      <w:tr>
        <w:tc>
          <w:tcPr>
            <w:tcW w:type="dxa" w:w="1872"/>
          </w:tcPr>
          <w:p>
            <w:r>
              <w:t>CAN-0244</w:t>
            </w:r>
          </w:p>
        </w:tc>
        <w:tc>
          <w:tcPr>
            <w:tcW w:type="dxa" w:w="1872"/>
          </w:tcPr>
          <w:p>
            <w:r>
              <w:t>Open full article</w:t>
            </w:r>
          </w:p>
        </w:tc>
        <w:tc>
          <w:tcPr>
            <w:tcW w:type="dxa" w:w="1872"/>
          </w:tcPr>
          <w:p>
            <w:r>
              <w:t>Retrospective outbreak-database analysis; Nigeria, 2006–2008.</w:t>
            </w:r>
          </w:p>
        </w:tc>
        <w:tc>
          <w:tcPr>
            <w:tcW w:type="dxa" w:w="1872"/>
          </w:tcPr>
          <w:p>
            <w:r>
              <w:t>1,654 suspected outbreaks; 299 laboratory-confirmed H5N1 outbreaks from 27 states and FCT.</w:t>
            </w:r>
          </w:p>
        </w:tc>
        <w:tc>
          <w:tcPr>
            <w:tcW w:type="dxa" w:w="1872"/>
          </w:tcPr>
          <w:p>
            <w:r>
              <w:t>Three significant spatio-temporal clusters; extract complete cluster definitions, uncertainty and dataset-linkage fields.</w:t>
            </w:r>
          </w:p>
        </w:tc>
      </w:tr>
      <w:tr>
        <w:tc>
          <w:tcPr>
            <w:tcW w:type="dxa" w:w="1872"/>
          </w:tcPr>
          <w:p>
            <w:r>
              <w:t>CAN-0246</w:t>
            </w:r>
          </w:p>
        </w:tc>
        <w:tc>
          <w:tcPr>
            <w:tcW w:type="dxa" w:w="1872"/>
          </w:tcPr>
          <w:p>
            <w:r>
              <w:t>Open author manuscript plus PubMed abstract</w:t>
            </w:r>
          </w:p>
        </w:tc>
        <w:tc>
          <w:tcPr>
            <w:tcW w:type="dxa" w:w="1872"/>
          </w:tcPr>
          <w:p>
            <w:r>
              <w:t>Field study and scenario-tree model; commercial/backyard chicken farms in Bayelsa State.</w:t>
            </w:r>
          </w:p>
        </w:tc>
        <w:tc>
          <w:tcPr>
            <w:tcW w:type="dxa" w:w="1872"/>
          </w:tcPr>
          <w:p>
            <w:r>
              <w:t>Yenegoa and Ogbia LGAs; reporting and farming-practice observations.</w:t>
            </w:r>
          </w:p>
        </w:tc>
        <w:tc>
          <w:tcPr>
            <w:tcW w:type="dxa" w:w="1872"/>
          </w:tcPr>
          <w:p>
            <w:r>
              <w:t>Median passive-surveillance sensitivity reported as 100%, 67% and 23% under stated prevalence scenarios; verify denominator and model assumptions.</w:t>
            </w:r>
          </w:p>
        </w:tc>
      </w:tr>
      <w:tr>
        <w:tc>
          <w:tcPr>
            <w:tcW w:type="dxa" w:w="1872"/>
          </w:tcPr>
          <w:p>
            <w:r>
              <w:t>CAN-0266</w:t>
            </w:r>
          </w:p>
        </w:tc>
        <w:tc>
          <w:tcPr>
            <w:tcW w:type="dxa" w:w="1872"/>
          </w:tcPr>
          <w:p>
            <w:r>
              <w:t>PubMed abstract</w:t>
            </w:r>
          </w:p>
        </w:tc>
        <w:tc>
          <w:tcPr>
            <w:tcW w:type="dxa" w:w="1872"/>
          </w:tcPr>
          <w:p>
            <w:r>
              <w:t>Benefit-cost analysis of H5N1 outbreak and surveillance costs in Nigeria.</w:t>
            </w:r>
          </w:p>
        </w:tc>
        <w:tc>
          <w:tcPr>
            <w:tcW w:type="dxa" w:w="1872"/>
          </w:tcPr>
          <w:p>
            <w:r>
              <w:t>Field, government, repository and peer-reviewed inputs; bird losses and surveillance costs.</w:t>
            </w:r>
          </w:p>
        </w:tc>
        <w:tc>
          <w:tcPr>
            <w:tcW w:type="dxa" w:w="1872"/>
          </w:tcPr>
          <w:p>
            <w:r>
              <w:t>Direct bird-death cost and modelled annual loss estimates are reported; retrieve article to extract perspective, time horizon, costing and sensitivity analysis.</w:t>
            </w:r>
          </w:p>
        </w:tc>
      </w:tr>
      <w:tr>
        <w:tc>
          <w:tcPr>
            <w:tcW w:type="dxa" w:w="1872"/>
          </w:tcPr>
          <w:p>
            <w:r>
              <w:t>CAN-0275</w:t>
            </w:r>
          </w:p>
        </w:tc>
        <w:tc>
          <w:tcPr>
            <w:tcW w:type="dxa" w:w="1872"/>
          </w:tcPr>
          <w:p>
            <w:r>
              <w:t>PubMed abstract</w:t>
            </w:r>
          </w:p>
        </w:tc>
        <w:tc>
          <w:tcPr>
            <w:tcW w:type="dxa" w:w="1872"/>
          </w:tcPr>
          <w:p>
            <w:r>
              <w:t>Ecological niche modelling of H5N1 transmission in Nigeria and West Africa.</w:t>
            </w:r>
          </w:p>
        </w:tc>
        <w:tc>
          <w:tcPr>
            <w:tcW w:type="dxa" w:w="1872"/>
          </w:tcPr>
          <w:p>
            <w:r>
              <w:t>Nigerian H5N1 occurrence data with 1-km environmental layers.</w:t>
            </w:r>
          </w:p>
        </w:tc>
        <w:tc>
          <w:tcPr>
            <w:tcW w:type="dxa" w:w="1872"/>
          </w:tcPr>
          <w:p>
            <w:r>
              <w:t>Environmental conditions predicted occurrence; retrieve article to extract occurrence dates, spatial validation and model limitations.</w:t>
            </w:r>
          </w:p>
        </w:tc>
      </w:tr>
    </w:tbl>
    <w:p>
      <w:r>
        <w:rPr>
          <w:rFonts w:ascii="Times New Roman" w:hAnsi="Times New Roman"/>
          <w:sz w:val="22"/>
        </w:rPr>
        <w:t>Calibration gate: the extraction form is usable for surveillance, spatio-temporal, risk-factor, economic and ecological-modelling evidence, but the wider extraction phase remains unopened until the 296-record queue and full-text eligibility are reconciled.</w:t>
      </w:r>
    </w:p>
    <w:p>
      <w:pPr>
        <w:pStyle w:val="Heading2"/>
      </w:pPr>
      <w:r>
        <w:rPr>
          <w:rFonts w:ascii="Times New Roman" w:hAnsi="Times New Roman"/>
          <w:sz w:val="22"/>
        </w:rPr>
        <w:t>B20. Corrected true-gap title/metadata screening update</w:t>
      </w:r>
    </w:p>
    <w:p>
      <w:r>
        <w:rPr>
          <w:rFonts w:ascii="Times New Roman" w:hAnsi="Times New Roman"/>
          <w:sz w:val="22"/>
        </w:rPr>
        <w:t>B20 screened the actual uncovered canonical range CAN-0341-CAN-0380 (40 records). R1 retained CAN-0344, CAN-0345, CAN-0359 and CAN-0379 and excluded 36. R2 retained CAN-0344, CAN-0356, CAN-0359 and CAN-0379 and excluded 36. The only disagreement was a two-record decision swap: CAN-0345 versus CAN-0356. Source verification confirmed that CAN-0345 reports surveillance sites in seven Central/West African countries without Nigeria, so it was excluded; CAN-0356 reports Nigerian H5N1 occurrence in a primary geospatial analysis and was retained for full-text verification. Final B20 disposition: 4 provisional full-text candidates and 36 exclusions. This closes the unique-register coverage gap but does not itself reconstruct exact retained IDs from earlier batches.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B20 record-level screen</w:t>
            </w:r>
          </w:p>
        </w:tc>
        <w:tc>
          <w:tcPr>
            <w:tcW w:type="dxa" w:w="3120"/>
          </w:tcPr>
          <w:p>
            <w:r>
              <w:rPr>
                <w:rFonts w:ascii="Times New Roman" w:hAnsi="Times New Roman"/>
                <w:sz w:val="20"/>
              </w:rPr>
              <w:t>Count</w:t>
            </w:r>
          </w:p>
        </w:tc>
        <w:tc>
          <w:tcPr>
            <w:tcW w:type="dxa" w:w="3120"/>
          </w:tcPr>
          <w:p>
            <w:r>
              <w:rPr>
                <w:rFonts w:ascii="Times New Roman" w:hAnsi="Times New Roman"/>
                <w:sz w:val="20"/>
              </w:rPr>
              <w:t>IDs / adjudication</w:t>
            </w:r>
          </w:p>
        </w:tc>
      </w:tr>
      <w:tr>
        <w:tc>
          <w:tcPr>
            <w:tcW w:type="dxa" w:w="3120"/>
          </w:tcPr>
          <w:p>
            <w:r>
              <w:rPr>
                <w:rFonts w:ascii="Times New Roman" w:hAnsi="Times New Roman"/>
                <w:sz w:val="20"/>
              </w:rPr>
              <w:t>R1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CAN-0345, CAN-0359, CAN-0379</w:t>
            </w:r>
          </w:p>
        </w:tc>
      </w:tr>
      <w:tr>
        <w:tc>
          <w:tcPr>
            <w:tcW w:type="dxa" w:w="3120"/>
          </w:tcPr>
          <w:p>
            <w:r>
              <w:rPr>
                <w:rFonts w:ascii="Times New Roman" w:hAnsi="Times New Roman"/>
                <w:sz w:val="20"/>
              </w:rPr>
              <w:t>R2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exclusions</w:t>
            </w:r>
          </w:p>
        </w:tc>
        <w:tc>
          <w:tcPr>
            <w:tcW w:type="dxa" w:w="3120"/>
          </w:tcPr>
          <w:p>
            <w:r>
              <w:rPr>
                <w:rFonts w:ascii="Times New Roman" w:hAnsi="Times New Roman"/>
                <w:sz w:val="20"/>
              </w:rPr>
              <w:t>36</w:t>
            </w:r>
          </w:p>
        </w:tc>
        <w:tc>
          <w:tcPr>
            <w:tcW w:type="dxa" w:w="3120"/>
          </w:tcPr>
          <w:p>
            <w:r>
              <w:rPr>
                <w:rFonts w:ascii="Times New Roman" w:hAnsi="Times New Roman"/>
                <w:sz w:val="20"/>
              </w:rPr>
              <w:t>All remaining IDs in CAN-0341-CAN-0380; CAN-0345 excluded after source verification</w:t>
            </w:r>
          </w:p>
        </w:tc>
      </w:tr>
      <w:tr>
        <w:tc>
          <w:tcPr>
            <w:tcW w:type="dxa" w:w="3120"/>
          </w:tcPr>
          <w:p>
            <w:r>
              <w:rPr>
                <w:rFonts w:ascii="Times New Roman" w:hAnsi="Times New Roman"/>
                <w:sz w:val="20"/>
              </w:rPr>
              <w:t>Unique cumulative status</w:t>
            </w:r>
          </w:p>
        </w:tc>
        <w:tc>
          <w:tcPr>
            <w:tcW w:type="dxa" w:w="3120"/>
          </w:tcPr>
          <w:p>
            <w:r>
              <w:rPr>
                <w:rFonts w:ascii="Times New Roman" w:hAnsi="Times New Roman"/>
                <w:sz w:val="20"/>
              </w:rPr>
              <w:t>1,877 / 1,581 / 296</w:t>
            </w:r>
          </w:p>
        </w:tc>
        <w:tc>
          <w:tcPr>
            <w:tcW w:type="dxa" w:w="3120"/>
          </w:tcPr>
          <w:p>
            <w:r>
              <w:rPr>
                <w:rFonts w:ascii="Times New Roman" w:hAnsi="Times New Roman"/>
                <w:sz w:val="20"/>
              </w:rPr>
              <w:t>screened / excluded / provisional full-text candidates; B19 duplicate audit non-additive</w:t>
            </w:r>
          </w:p>
        </w:tc>
      </w:tr>
    </w:tbl>
    <w:p>
      <w:pPr>
        <w:pStyle w:val="Heading2"/>
      </w:pPr>
      <w:r>
        <w:rPr>
          <w:rFonts w:ascii="Times New Roman" w:hAnsi="Times New Roman"/>
        </w:rPr>
        <w:t>B21. Fresh record-level reconstruction and adjudication</w:t>
      </w:r>
    </w:p>
    <w:p>
      <w:r>
        <w:rPr>
          <w:rFonts w:ascii="Times New Roman" w:hAnsi="Times New Roman"/>
          <w:sz w:val="22"/>
        </w:rPr>
        <w:t>Two independent title/metadata passes were completed in 100-record blocks across all 1,877 canonical identities. R1 retained 269 records and R2 retained 277; the conservative union contained 302 records before preservation of the prior evidence-supported pilot and B20 adjudications. The final record-level register contains 296 provisional full-text candidates and 1,581 title/metadata exclusions. The prior adjudicated pilot decisions and the evidence-supported B20 decision for CAN-0344, CAN-0356, CAN-0359 and CAN-0379 were preserved where they differed from the fresh title-only pass. These are provisional retrieval candidates, not final included studies; full-text eligibility, duplicate/dataset linkage, extraction, RoB, certainty, synthesis and PRISMA reporting remain pending.</w:t>
      </w:r>
    </w:p>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