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20 September 2026. Results status: 2,367 source rows had been reconciled into 1,877 provisional identities; 540 title/metadata records have been screened, yielding 436 clear exclusions and 104 provisional full-text candidates.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t>STATUS NOTE - 22 September 2026: Gate C remains open. The adjudicated R1/R2 title/metadata pilot of 40 records and Batch R1-B1 (the first 100 non-pilot canonical records by canonical_id order, CAN-0015 through CAN-0134 with pilot IDs omitted) produced 98 clear exclusions and 42 provisional full-text candidates. Batch R1-B1 had exact R1/R2 agreement (100/100) and no adjudication disagreements. Batch B2 retained 17 provisional full-text candidates and excluded 83 after eight R1/R2 disagreements were adjudicated. Batch B3 screened CAN-0241-CAN-0340 and retained 13 provisional full-text candidates while excluding 87. Batch B4 screened CAN-0381-CAN-0480: R1/R2 had exact agreement (100/100), with 0 clear Include-for-full-text decisions, 11 Unsure/retain-for-full-text decisions and 89 Exclude decisions; no disagreements occurred. All 11 uncertain records were retained conservatively for full-text review. Cumulatively, 540 title/metadata records have been screened, with 436 exclusions and 104 provisional full-text candidates; 1,337 canonical identities remain unresolved/non-final. Gates D-J are incomplete; full-text assessment, extraction, risk-of-bias assessment, certainty assessment, final PRISMA flow and SWiM synthesis remain pending.</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t>Records were reconciled using symmetric DOI, PMID, or exact normalised title-plus-year matching. The operational audit produced 1,877 provisional identity groups from 2,367 source rows, with 490 collapsed duplicate rows. The controlled title/metadata-screening denominator is therefore 1,877. R1 and R2 independently screened and adjudicated a 40-record pilot (25 clear exclusions; 15 provisional full-text candidates) and independently screened Batch R1-B1, the first 100 non-pilot canonical records by canonical_id order (CAN-0015 through CAN-0134 with pilot IDs omitted). Batch R1-B1 had exact agreement (100/100), with 17 Include-for-full-text, 10 Unsure/retain-for-full-text and 73 Exclude decisions; no adjudication disagreements occurred. Batch B2 comprised the next 100 non-pilot canonical records after B1 (CAN-0135-CAN-0240, with pilot IDs omitted). The final B2 disposition was 17 retained for full text and 83 excluded after eight disagreements were adjudicated. Batch B3 comprised CAN-0241-CAN-0340; the final B3 disposition was 13 provisional full-text candidates and 87 exclusions. Batch B4 comprised CAN-0381-CAN-0480 (100 records). R1 and R2 had exact agreement (100/100): 0 clear Include-for-full-text, 11 Unsure/retain-for-full-text and 89 Exclude decisions, with no disagreements. All 11 uncertain records were retained conservatively for full-text review. Across the pilot, B1, B2, B3 and B4, 540 title/metadata records have been screened: 436 clear exclusions and 104 provisional full-text candidates. The remaining 1,437 canonical identities are unresolved/non-final.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t>The evidence synthesis is not complete. Gate C screening reconciliation remains open after adjudication of the 40-record R1/R2 title/metadata pilot, exact-agreement screening of the 100-record Batch R1-B1 and Batch B4, and adjudication of the 100-record Batches B2 and B3: 1,337 canonical identities remain unresolved/non-final, while 83 records are provisional candidates awaiting full-text assessment. Gates D-J have not been completed. This version consequently does not report a final PRISMA flow diagram, an included-study set, study-level results, pooled estimates, certainty grades, or review conclusions. Such outputs require completion of screening, full-text assessment, extraction, appraisal, synthesis and final reporting audit.</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t>Operational snapshot: 20 September 2026. This appendix records the evidence boundary and search/record-management status for this submission-stage document, including adjudicated title/metadata screening through Batch B4.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17"/>
              </w:rPr>
              <w:t>Source and date</w:t>
            </w:r>
          </w:p>
        </w:tc>
        <w:tc>
          <w:tcPr>
            <w:tcW w:type="dxa" w:w="4680"/>
            <w:vAlign w:val="center"/>
            <w:shd w:fill="D9E2F3"/>
          </w:tcPr>
          <w:p>
            <w:pPr>
              <w:spacing w:after="0"/>
            </w:pPr>
            <w:r>
              <w:rPr>
                <w:rFonts w:ascii="Times New Roman" w:hAnsi="Times New Roman"/>
                <w:b/>
                <w:sz w:val="17"/>
              </w:rPr>
              <w:t>Documented search record</w:t>
            </w:r>
          </w:p>
        </w:tc>
        <w:tc>
          <w:tcPr>
            <w:tcW w:type="dxa" w:w="1296"/>
            <w:vAlign w:val="center"/>
            <w:shd w:fill="D9E2F3"/>
          </w:tcPr>
          <w:p>
            <w:pPr>
              <w:spacing w:after="0"/>
            </w:pPr>
            <w:r>
              <w:rPr>
                <w:rFonts w:ascii="Times New Roman" w:hAnsi="Times New Roman"/>
                <w:b/>
                <w:sz w:val="17"/>
              </w:rPr>
              <w:t>Count</w:t>
            </w:r>
          </w:p>
        </w:tc>
        <w:tc>
          <w:tcPr>
            <w:tcW w:type="dxa" w:w="2448"/>
            <w:vAlign w:val="center"/>
            <w:shd w:fill="D9E2F3"/>
          </w:tcPr>
          <w:p>
            <w:pPr>
              <w:spacing w:after="0"/>
            </w:pPr>
            <w:r>
              <w:rPr>
                <w:rFonts w:ascii="Times New Roman" w:hAnsi="Times New Roman"/>
                <w:b/>
                <w:sz w:val="17"/>
              </w:rPr>
              <w:t>Reproducibility status / missing field</w:t>
            </w:r>
          </w:p>
        </w:tc>
      </w:tr>
      <w:tr>
        <w:tc>
          <w:tcPr>
            <w:tcW w:type="dxa" w:w="1656"/>
            <w:vAlign w:val="top"/>
          </w:tcPr>
          <w:p>
            <w:pPr>
              <w:spacing w:after="0"/>
            </w:pPr>
            <w:r>
              <w:rPr>
                <w:rFonts w:ascii="Times New Roman" w:hAnsi="Times New Roman"/>
                <w:sz w:val="17"/>
              </w:rPr>
              <w:t>PubMed/MEDLINE; 16 Sep 2026</w:t>
            </w:r>
          </w:p>
        </w:tc>
        <w:tc>
          <w:tcPr>
            <w:tcW w:type="dxa" w:w="4680"/>
            <w:vAlign w:val="top"/>
          </w:tcPr>
          <w:p>
            <w:pPr>
              <w:spacing w:after="0"/>
            </w:pPr>
            <w:r>
              <w:rPr>
                <w:rFonts w:ascii="Times New Roman" w:hAnsi="Times New Roman"/>
                <w:sz w:val="17"/>
              </w:rPr>
              <w:t>Full v3 base and molecular facet documented below; date limit 2006/01/01–2026/09/30.</w:t>
            </w:r>
          </w:p>
        </w:tc>
        <w:tc>
          <w:tcPr>
            <w:tcW w:type="dxa" w:w="1296"/>
            <w:vAlign w:val="top"/>
          </w:tcPr>
          <w:p>
            <w:pPr>
              <w:spacing w:after="0"/>
            </w:pPr>
            <w:r>
              <w:rPr>
                <w:rFonts w:ascii="Times New Roman" w:hAnsi="Times New Roman"/>
                <w:sz w:val="17"/>
              </w:rPr>
              <w:t>140 base; 53 molecular</w:t>
            </w:r>
          </w:p>
        </w:tc>
        <w:tc>
          <w:tcPr>
            <w:tcW w:type="dxa" w:w="2448"/>
            <w:vAlign w:val="top"/>
          </w:tcPr>
          <w:p>
            <w:pPr>
              <w:spacing w:after="0"/>
            </w:pPr>
            <w:r>
              <w:rPr>
                <w:rFonts w:ascii="Times New Roman" w:hAnsi="Times New Roman"/>
                <w:sz w:val="17"/>
              </w:rPr>
              <w:t>Executed strings retained; English filter is not encoded in the v3 script record.</w:t>
            </w:r>
          </w:p>
        </w:tc>
      </w:tr>
      <w:tr>
        <w:tc>
          <w:tcPr>
            <w:tcW w:type="dxa" w:w="1656"/>
            <w:vAlign w:val="top"/>
          </w:tcPr>
          <w:p>
            <w:pPr>
              <w:spacing w:after="0"/>
            </w:pPr>
            <w:r>
              <w:rPr>
                <w:rFonts w:ascii="Times New Roman" w:hAnsi="Times New Roman"/>
                <w:sz w:val="17"/>
              </w:rPr>
              <w:t>Scopus; 16 Sep 2026</w:t>
            </w:r>
          </w:p>
        </w:tc>
        <w:tc>
          <w:tcPr>
            <w:tcW w:type="dxa" w:w="4680"/>
            <w:vAlign w:val="top"/>
          </w:tcPr>
          <w:p>
            <w:pPr>
              <w:spacing w:after="0"/>
            </w:pPr>
            <w:r>
              <w:rPr>
                <w:rFonts w:ascii="Times New Roman" w:hAnsi="Times New Roman"/>
                <w:sz w:val="17"/>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17"/>
              </w:rPr>
              <w:t>204</w:t>
            </w:r>
          </w:p>
        </w:tc>
        <w:tc>
          <w:tcPr>
            <w:tcW w:type="dxa" w:w="2448"/>
            <w:vAlign w:val="top"/>
          </w:tcPr>
          <w:p>
            <w:pPr>
              <w:spacing w:after="0"/>
            </w:pPr>
            <w:r>
              <w:rPr>
                <w:rFonts w:ascii="Times New Roman" w:hAnsi="Times New Roman"/>
                <w:sz w:val="17"/>
              </w:rPr>
              <w:t>Base syntax documented; facet lines, interface settings and export configuration are incomplete.</w:t>
            </w:r>
          </w:p>
        </w:tc>
      </w:tr>
      <w:tr>
        <w:tc>
          <w:tcPr>
            <w:tcW w:type="dxa" w:w="1656"/>
            <w:vAlign w:val="top"/>
          </w:tcPr>
          <w:p>
            <w:pPr>
              <w:spacing w:after="0"/>
            </w:pPr>
            <w:r>
              <w:rPr>
                <w:rFonts w:ascii="Times New Roman" w:hAnsi="Times New Roman"/>
                <w:sz w:val="17"/>
              </w:rPr>
              <w:t>WoS API; 19 Sep 2026</w:t>
            </w:r>
          </w:p>
        </w:tc>
        <w:tc>
          <w:tcPr>
            <w:tcW w:type="dxa" w:w="4680"/>
            <w:vAlign w:val="top"/>
          </w:tcPr>
          <w:p>
            <w:pPr>
              <w:spacing w:after="0"/>
            </w:pPr>
            <w:r>
              <w:rPr>
                <w:rFonts w:ascii="Times New Roman" w:hAnsi="Times New Roman"/>
                <w:sz w:val="17"/>
              </w:rPr>
              <w:t>TS=("avian influenza" OR AIV OR HPAI OR LPAI OR H5N1 OR H9N2) AND TS=(Nigeria OR Nigerian) AND PY=(2006-2026).</w:t>
            </w:r>
          </w:p>
        </w:tc>
        <w:tc>
          <w:tcPr>
            <w:tcW w:type="dxa" w:w="1296"/>
            <w:vAlign w:val="top"/>
          </w:tcPr>
          <w:p>
            <w:pPr>
              <w:spacing w:after="0"/>
            </w:pPr>
            <w:r>
              <w:rPr>
                <w:rFonts w:ascii="Times New Roman" w:hAnsi="Times New Roman"/>
                <w:sz w:val="17"/>
              </w:rPr>
              <w:t>175 unique UIDs</w:t>
            </w:r>
          </w:p>
        </w:tc>
        <w:tc>
          <w:tcPr>
            <w:tcW w:type="dxa" w:w="2448"/>
            <w:vAlign w:val="top"/>
          </w:tcPr>
          <w:p>
            <w:pPr>
              <w:spacing w:after="0"/>
            </w:pPr>
            <w:r>
              <w:rPr>
                <w:rFonts w:ascii="Times New Roman" w:hAnsi="Times New Roman"/>
                <w:sz w:val="17"/>
              </w:rPr>
              <w:t>Imported API layer; no English filter recorded.</w:t>
            </w:r>
          </w:p>
        </w:tc>
      </w:tr>
      <w:tr>
        <w:tc>
          <w:tcPr>
            <w:tcW w:type="dxa" w:w="1656"/>
            <w:vAlign w:val="top"/>
          </w:tcPr>
          <w:p>
            <w:pPr>
              <w:spacing w:after="0"/>
            </w:pPr>
            <w:r>
              <w:rPr>
                <w:rFonts w:ascii="Times New Roman" w:hAnsi="Times New Roman"/>
                <w:sz w:val="17"/>
              </w:rPr>
              <w:t>WoS Core Collection; 20 Sep 2026</w:t>
            </w:r>
          </w:p>
        </w:tc>
        <w:tc>
          <w:tcPr>
            <w:tcW w:type="dxa" w:w="4680"/>
            <w:vAlign w:val="top"/>
          </w:tcPr>
          <w:p>
            <w:pPr>
              <w:spacing w:after="0"/>
            </w:pPr>
            <w:r>
              <w:rPr>
                <w:rFonts w:ascii="Times New Roman" w:hAnsi="Times New Roman"/>
                <w:sz w:val="17"/>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17"/>
              </w:rPr>
              <w:t>206 base; 77 molecular; 154 epidemiology; 70 host</w:t>
            </w:r>
          </w:p>
        </w:tc>
        <w:tc>
          <w:tcPr>
            <w:tcW w:type="dxa" w:w="2448"/>
            <w:vAlign w:val="top"/>
          </w:tcPr>
          <w:p>
            <w:pPr>
              <w:spacing w:after="0"/>
            </w:pPr>
            <w:r>
              <w:rPr>
                <w:rFonts w:ascii="Times New Roman" w:hAnsi="Times New Roman"/>
                <w:sz w:val="17"/>
              </w:rPr>
              <w:t>Displayed counts only; no reliable complete record export. Do not add to the 175 UIDs.</w:t>
            </w:r>
          </w:p>
        </w:tc>
      </w:tr>
      <w:tr>
        <w:tc>
          <w:tcPr>
            <w:tcW w:type="dxa" w:w="1656"/>
            <w:vAlign w:val="top"/>
          </w:tcPr>
          <w:p>
            <w:pPr>
              <w:spacing w:after="0"/>
            </w:pPr>
            <w:r>
              <w:rPr>
                <w:rFonts w:ascii="Times New Roman" w:hAnsi="Times New Roman"/>
                <w:sz w:val="17"/>
              </w:rPr>
              <w:t>ScienceDirect; 16 Sep 2026</w:t>
            </w:r>
          </w:p>
        </w:tc>
        <w:tc>
          <w:tcPr>
            <w:tcW w:type="dxa" w:w="4680"/>
            <w:vAlign w:val="top"/>
          </w:tcPr>
          <w:p>
            <w:pPr>
              <w:spacing w:after="0"/>
            </w:pPr>
            <w:r>
              <w:rPr>
                <w:rFonts w:ascii="Times New Roman" w:hAnsi="Times New Roman"/>
                <w:sz w:val="17"/>
              </w:rPr>
              <w:t>Abbreviated record only: Scopus-derived title/abstract/key-word variant, 2006–2026.</w:t>
            </w:r>
          </w:p>
        </w:tc>
        <w:tc>
          <w:tcPr>
            <w:tcW w:type="dxa" w:w="1296"/>
            <w:vAlign w:val="top"/>
          </w:tcPr>
          <w:p>
            <w:pPr>
              <w:spacing w:after="0"/>
            </w:pPr>
            <w:r>
              <w:rPr>
                <w:rFonts w:ascii="Times New Roman" w:hAnsi="Times New Roman"/>
                <w:sz w:val="17"/>
              </w:rPr>
              <w:t>25 displayed/exported</w:t>
            </w:r>
          </w:p>
        </w:tc>
        <w:tc>
          <w:tcPr>
            <w:tcW w:type="dxa" w:w="2448"/>
            <w:vAlign w:val="top"/>
          </w:tcPr>
          <w:p>
            <w:pPr>
              <w:spacing w:after="0"/>
            </w:pPr>
            <w:r>
              <w:rPr>
                <w:rFonts w:ascii="Times New Roman" w:hAnsi="Times New Roman"/>
                <w:sz w:val="17"/>
              </w:rPr>
              <w:t>Exact as-run string, filters, cap and platform configuration are not documented.</w:t>
            </w:r>
          </w:p>
        </w:tc>
      </w:tr>
      <w:tr>
        <w:tc>
          <w:tcPr>
            <w:tcW w:type="dxa" w:w="1656"/>
            <w:vAlign w:val="top"/>
          </w:tcPr>
          <w:p>
            <w:pPr>
              <w:spacing w:after="0"/>
            </w:pPr>
            <w:r>
              <w:rPr>
                <w:rFonts w:ascii="Times New Roman" w:hAnsi="Times New Roman"/>
                <w:sz w:val="17"/>
              </w:rPr>
              <w:t>Google Scholar; 17 Sep 2026</w:t>
            </w:r>
          </w:p>
        </w:tc>
        <w:tc>
          <w:tcPr>
            <w:tcW w:type="dxa" w:w="4680"/>
            <w:vAlign w:val="top"/>
          </w:tcPr>
          <w:p>
            <w:pPr>
              <w:spacing w:after="0"/>
            </w:pPr>
            <w:r>
              <w:rPr>
                <w:rFonts w:ascii="Times New Roman" w:hAnsi="Times New Roman"/>
                <w:sz w:val="17"/>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17"/>
              </w:rPr>
              <w:t>140 retrieved; 99 unique</w:t>
            </w:r>
          </w:p>
        </w:tc>
        <w:tc>
          <w:tcPr>
            <w:tcW w:type="dxa" w:w="2448"/>
            <w:vAlign w:val="top"/>
          </w:tcPr>
          <w:p>
            <w:pPr>
              <w:spacing w:after="0"/>
            </w:pPr>
            <w:r>
              <w:rPr>
                <w:rFonts w:ascii="Times New Roman" w:hAnsi="Times New Roman"/>
                <w:sz w:val="17"/>
              </w:rPr>
              <w:t>Supplementary only; no persistent export. Not a primary PRISMA identification layer.</w:t>
            </w:r>
          </w:p>
        </w:tc>
      </w:tr>
      <w:tr>
        <w:tc>
          <w:tcPr>
            <w:tcW w:type="dxa" w:w="1656"/>
            <w:vAlign w:val="top"/>
          </w:tcPr>
          <w:p>
            <w:pPr>
              <w:spacing w:after="0"/>
            </w:pPr>
            <w:r>
              <w:rPr>
                <w:rFonts w:ascii="Times New Roman" w:hAnsi="Times New Roman"/>
                <w:sz w:val="17"/>
              </w:rPr>
              <w:t>AJOL; 20 Sep 2026</w:t>
            </w:r>
          </w:p>
        </w:tc>
        <w:tc>
          <w:tcPr>
            <w:tcW w:type="dxa" w:w="4680"/>
            <w:vAlign w:val="top"/>
          </w:tcPr>
          <w:p>
            <w:pPr>
              <w:spacing w:after="0"/>
            </w:pPr>
            <w:r>
              <w:rPr>
                <w:rFonts w:ascii="Times New Roman" w:hAnsi="Times New Roman"/>
                <w:sz w:val="17"/>
              </w:rPr>
              <w:t>Nine exact mandatory-term queries are listed below.</w:t>
            </w:r>
          </w:p>
        </w:tc>
        <w:tc>
          <w:tcPr>
            <w:tcW w:type="dxa" w:w="1296"/>
            <w:vAlign w:val="top"/>
          </w:tcPr>
          <w:p>
            <w:pPr>
              <w:spacing w:after="0"/>
            </w:pPr>
            <w:r>
              <w:rPr>
                <w:rFonts w:ascii="Times New Roman" w:hAnsi="Times New Roman"/>
                <w:sz w:val="17"/>
              </w:rPr>
              <w:t>144 query rows; 79 unique URLs; 73 in-window</w:t>
            </w:r>
          </w:p>
        </w:tc>
        <w:tc>
          <w:tcPr>
            <w:tcW w:type="dxa" w:w="2448"/>
            <w:vAlign w:val="top"/>
          </w:tcPr>
          <w:p>
            <w:pPr>
              <w:spacing w:after="0"/>
            </w:pPr>
            <w:r>
              <w:rPr>
                <w:rFonts w:ascii="Times New Roman" w:hAnsi="Times New Roman"/>
                <w:sz w:val="17"/>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t>The canonical register reports 2,367 source rows, 1,877 provisional identity groups and 490 collapsed duplicate rows. The controlled title/metadata-screening denominator is 1,877. An adjudicated R1/R2 pilot of 40 records produced 25 clear exclusions and 15 provisional full-text candidates. Batch R1-B1 then screened the first 100 non-pilot canonical records by canonical_id order (CAN-0015 through CAN-0134 with pilot IDs omitted): exact R1/R2 agreement (100/100), no adjudication disagreements, 17 Include-for-full-text, 10 Unsure/retain-for-full-text and 73 Exclude. Batch B2 screened the next 100 non-pilot canonical records after B1 (CAN-0135-CAN-0240, with pilot IDs omitted): final adjudication retained 17 provisional full-text candidates and excluded 83 records after eight disagreements. Batch B3 screened CAN-0241-CAN-0340: final adjudication retained 13 provisional full-text candidates and excluded 87 records. Batch B4 screened CAN-0381-CAN-0480: R1/R2 had exact agreement (100/100), with 0 clear Include-for-full-text, 11 Unsure/retain-for-full-text and 89 Exclude decisions; no disagreements occurred, and all 11 uncertain records were retained for full text. Cumulatively, 440 title/metadata records have been screened, with 357 clear exclusions and 83 provisional full-text candidates. These outcomes do not finalise study inclusion or PRISMA counts. The remaining 1,437 canonical identities are unresolved/non-final;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17"/>
              </w:rPr>
              <w:t>Gate</w:t>
            </w:r>
          </w:p>
        </w:tc>
        <w:tc>
          <w:tcPr>
            <w:tcW w:type="dxa" w:w="4032"/>
            <w:vAlign w:val="center"/>
            <w:shd w:fill="D9E2F3"/>
          </w:tcPr>
          <w:p>
            <w:pPr>
              <w:spacing w:after="0"/>
            </w:pPr>
            <w:r>
              <w:rPr>
                <w:rFonts w:ascii="Times New Roman" w:hAnsi="Times New Roman"/>
                <w:b/>
                <w:sz w:val="17"/>
              </w:rPr>
              <w:t>Required stage</w:t>
            </w:r>
          </w:p>
        </w:tc>
        <w:tc>
          <w:tcPr>
            <w:tcW w:type="dxa" w:w="5256"/>
            <w:vAlign w:val="center"/>
            <w:shd w:fill="D9E2F3"/>
          </w:tcPr>
          <w:p>
            <w:pPr>
              <w:spacing w:after="0"/>
            </w:pPr>
            <w:r>
              <w:rPr>
                <w:rFonts w:ascii="Times New Roman" w:hAnsi="Times New Roman"/>
                <w:b/>
                <w:sz w:val="17"/>
              </w:rPr>
              <w:t>Status at 20 Sep 2026</w:t>
            </w:r>
          </w:p>
        </w:tc>
      </w:tr>
      <w:tr>
        <w:tc>
          <w:tcPr>
            <w:tcW w:type="dxa" w:w="792"/>
            <w:vAlign w:val="top"/>
          </w:tcPr>
          <w:p>
            <w:pPr>
              <w:spacing w:after="0"/>
            </w:pPr>
            <w:r>
              <w:rPr>
                <w:rFonts w:ascii="Times New Roman" w:hAnsi="Times New Roman"/>
                <w:sz w:val="17"/>
              </w:rPr>
              <w:t>C</w:t>
            </w:r>
          </w:p>
        </w:tc>
        <w:tc>
          <w:tcPr>
            <w:tcW w:type="dxa" w:w="4032"/>
            <w:vAlign w:val="top"/>
          </w:tcPr>
          <w:p>
            <w:pPr>
              <w:spacing w:after="0"/>
            </w:pPr>
            <w:r>
              <w:rPr>
                <w:rFonts w:ascii="Times New Roman" w:hAnsi="Times New Roman"/>
                <w:sz w:val="17"/>
              </w:rPr>
              <w:t>Screening reconciliation</w:t>
            </w:r>
          </w:p>
        </w:tc>
        <w:tc>
          <w:tcPr>
            <w:tcW w:type="dxa" w:w="5256"/>
            <w:vAlign w:val="top"/>
          </w:tcPr>
          <w:p>
            <w:r>
              <w:t>Open - 440 title/metadata records screened (40 adjudicated pilot + 100-record Batch R1-B1 + 100-record Batch B2 + 100-record Batch B3 + 100-record Batch B4): 357 clear exclusions and 83 provisional full-text candidates. The remaining 1,437 identities are unresolved/non-final.</w:t>
            </w:r>
          </w:p>
        </w:tc>
      </w:tr>
      <w:tr>
        <w:tc>
          <w:tcPr>
            <w:tcW w:type="dxa" w:w="792"/>
            <w:vAlign w:val="top"/>
          </w:tcPr>
          <w:p>
            <w:pPr>
              <w:spacing w:after="0"/>
            </w:pPr>
            <w:r>
              <w:rPr>
                <w:rFonts w:ascii="Times New Roman" w:hAnsi="Times New Roman"/>
                <w:sz w:val="17"/>
              </w:rPr>
              <w:t>D</w:t>
            </w:r>
          </w:p>
        </w:tc>
        <w:tc>
          <w:tcPr>
            <w:tcW w:type="dxa" w:w="4032"/>
            <w:vAlign w:val="top"/>
          </w:tcPr>
          <w:p>
            <w:pPr>
              <w:spacing w:after="0"/>
            </w:pPr>
            <w:r>
              <w:rPr>
                <w:rFonts w:ascii="Times New Roman" w:hAnsi="Times New Roman"/>
                <w:sz w:val="17"/>
              </w:rPr>
              <w:t>Full-text eligibility</w:t>
            </w:r>
          </w:p>
        </w:tc>
        <w:tc>
          <w:tcPr>
            <w:tcW w:type="dxa" w:w="5256"/>
            <w:vAlign w:val="top"/>
          </w:tcPr>
          <w:p>
            <w:r>
              <w:t>Pending - 83 provisional candidates await full-text assessment; no final eligibility decisions.</w:t>
            </w:r>
          </w:p>
        </w:tc>
      </w:tr>
      <w:tr>
        <w:tc>
          <w:tcPr>
            <w:tcW w:type="dxa" w:w="792"/>
            <w:vAlign w:val="top"/>
          </w:tcPr>
          <w:p>
            <w:pPr>
              <w:spacing w:after="0"/>
            </w:pPr>
            <w:r>
              <w:rPr>
                <w:rFonts w:ascii="Times New Roman" w:hAnsi="Times New Roman"/>
                <w:sz w:val="17"/>
              </w:rPr>
              <w:t>E</w:t>
            </w:r>
          </w:p>
        </w:tc>
        <w:tc>
          <w:tcPr>
            <w:tcW w:type="dxa" w:w="4032"/>
            <w:vAlign w:val="top"/>
          </w:tcPr>
          <w:p>
            <w:pPr>
              <w:spacing w:after="0"/>
            </w:pPr>
            <w:r>
              <w:rPr>
                <w:rFonts w:ascii="Times New Roman" w:hAnsi="Times New Roman"/>
                <w:sz w:val="17"/>
              </w:rPr>
              <w:t>Extraction pilot</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F</w:t>
            </w:r>
          </w:p>
        </w:tc>
        <w:tc>
          <w:tcPr>
            <w:tcW w:type="dxa" w:w="4032"/>
            <w:vAlign w:val="top"/>
          </w:tcPr>
          <w:p>
            <w:pPr>
              <w:spacing w:after="0"/>
            </w:pPr>
            <w:r>
              <w:rPr>
                <w:rFonts w:ascii="Times New Roman" w:hAnsi="Times New Roman"/>
                <w:sz w:val="17"/>
              </w:rPr>
              <w:t>Full extraction and evidence tables</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G</w:t>
            </w:r>
          </w:p>
        </w:tc>
        <w:tc>
          <w:tcPr>
            <w:tcW w:type="dxa" w:w="4032"/>
            <w:vAlign w:val="top"/>
          </w:tcPr>
          <w:p>
            <w:pPr>
              <w:spacing w:after="0"/>
            </w:pPr>
            <w:r>
              <w:rPr>
                <w:rFonts w:ascii="Times New Roman" w:hAnsi="Times New Roman"/>
                <w:sz w:val="17"/>
              </w:rPr>
              <w:t>JBI and molecular risk-of-bias appraisal</w:t>
            </w:r>
          </w:p>
        </w:tc>
        <w:tc>
          <w:tcPr>
            <w:tcW w:type="dxa" w:w="5256"/>
            <w:vAlign w:val="top"/>
          </w:tcPr>
          <w:p>
            <w:pPr>
              <w:spacing w:after="0"/>
            </w:pPr>
            <w:r>
              <w:rPr>
                <w:rFonts w:ascii="Times New Roman" w:hAnsi="Times New Roman"/>
                <w:sz w:val="17"/>
              </w:rPr>
              <w:t>Pending – no records appraised.</w:t>
            </w:r>
          </w:p>
        </w:tc>
      </w:tr>
      <w:tr>
        <w:tc>
          <w:tcPr>
            <w:tcW w:type="dxa" w:w="792"/>
            <w:vAlign w:val="top"/>
          </w:tcPr>
          <w:p>
            <w:pPr>
              <w:spacing w:after="0"/>
            </w:pPr>
            <w:r>
              <w:rPr>
                <w:rFonts w:ascii="Times New Roman" w:hAnsi="Times New Roman"/>
                <w:sz w:val="17"/>
              </w:rPr>
              <w:t>H</w:t>
            </w:r>
          </w:p>
        </w:tc>
        <w:tc>
          <w:tcPr>
            <w:tcW w:type="dxa" w:w="4032"/>
            <w:vAlign w:val="top"/>
          </w:tcPr>
          <w:p>
            <w:pPr>
              <w:spacing w:after="0"/>
            </w:pPr>
            <w:r>
              <w:rPr>
                <w:rFonts w:ascii="Times New Roman" w:hAnsi="Times New Roman"/>
                <w:sz w:val="17"/>
              </w:rPr>
              <w:t>SWiM synthesis and certainty narrative</w:t>
            </w:r>
          </w:p>
        </w:tc>
        <w:tc>
          <w:tcPr>
            <w:tcW w:type="dxa" w:w="5256"/>
            <w:vAlign w:val="top"/>
          </w:tcPr>
          <w:p>
            <w:pPr>
              <w:spacing w:after="0"/>
            </w:pPr>
            <w:r>
              <w:rPr>
                <w:rFonts w:ascii="Times New Roman" w:hAnsi="Times New Roman"/>
                <w:sz w:val="17"/>
              </w:rPr>
              <w:t>Pending – no synthesis or certainty narrative.</w:t>
            </w:r>
          </w:p>
        </w:tc>
      </w:tr>
      <w:tr>
        <w:tc>
          <w:tcPr>
            <w:tcW w:type="dxa" w:w="792"/>
            <w:vAlign w:val="top"/>
          </w:tcPr>
          <w:p>
            <w:pPr>
              <w:spacing w:after="0"/>
            </w:pPr>
            <w:r>
              <w:rPr>
                <w:rFonts w:ascii="Times New Roman" w:hAnsi="Times New Roman"/>
                <w:sz w:val="17"/>
              </w:rPr>
              <w:t>I</w:t>
            </w:r>
          </w:p>
        </w:tc>
        <w:tc>
          <w:tcPr>
            <w:tcW w:type="dxa" w:w="4032"/>
            <w:vAlign w:val="top"/>
          </w:tcPr>
          <w:p>
            <w:pPr>
              <w:spacing w:after="0"/>
            </w:pPr>
            <w:r>
              <w:rPr>
                <w:rFonts w:ascii="Times New Roman" w:hAnsi="Times New Roman"/>
                <w:sz w:val="17"/>
              </w:rPr>
              <w:t>PRISMA flow and manuscript reporting</w:t>
            </w:r>
          </w:p>
        </w:tc>
        <w:tc>
          <w:tcPr>
            <w:tcW w:type="dxa" w:w="5256"/>
            <w:vAlign w:val="top"/>
          </w:tcPr>
          <w:p>
            <w:pPr>
              <w:spacing w:after="0"/>
            </w:pPr>
            <w:r>
              <w:rPr>
                <w:rFonts w:ascii="Times New Roman" w:hAnsi="Times New Roman"/>
                <w:sz w:val="17"/>
              </w:rPr>
              <w:t>Pending – no final counts or flow.</w:t>
            </w:r>
          </w:p>
        </w:tc>
      </w:tr>
      <w:tr>
        <w:tc>
          <w:tcPr>
            <w:tcW w:type="dxa" w:w="792"/>
            <w:vAlign w:val="top"/>
          </w:tcPr>
          <w:p>
            <w:pPr>
              <w:spacing w:after="0"/>
            </w:pPr>
            <w:r>
              <w:rPr>
                <w:rFonts w:ascii="Times New Roman" w:hAnsi="Times New Roman"/>
                <w:sz w:val="17"/>
              </w:rPr>
              <w:t>J</w:t>
            </w:r>
          </w:p>
        </w:tc>
        <w:tc>
          <w:tcPr>
            <w:tcW w:type="dxa" w:w="4032"/>
            <w:vAlign w:val="top"/>
          </w:tcPr>
          <w:p>
            <w:pPr>
              <w:spacing w:after="0"/>
            </w:pPr>
            <w:r>
              <w:rPr>
                <w:rFonts w:ascii="Times New Roman" w:hAnsi="Times New Roman"/>
                <w:sz w:val="17"/>
              </w:rPr>
              <w:t>PRISMA 2020/PRISMA-S/SWiM audit</w:t>
            </w:r>
          </w:p>
        </w:tc>
        <w:tc>
          <w:tcPr>
            <w:tcW w:type="dxa" w:w="5256"/>
            <w:vAlign w:val="top"/>
          </w:tcPr>
          <w:p>
            <w:pPr>
              <w:spacing w:after="0"/>
            </w:pPr>
            <w:r>
              <w:rPr>
                <w:rFonts w:ascii="Times New Roman" w:hAnsi="Times New Roman"/>
                <w:sz w:val="17"/>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t>Dated 23 September 2026. This appendix supersedes no source record: it consolidates the current gate state for this submission-stage status report, including the Batch B4 and Batch B5 title/metadata updates.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Gate</w:t>
            </w:r>
          </w:p>
        </w:tc>
        <w:tc>
          <w:tcPr>
            <w:tcW w:type="dxa" w:w="3120"/>
            <w:vAlign w:val="center"/>
            <w:shd w:fill="D9EAD3"/>
          </w:tcPr>
          <w:p>
            <w:r>
              <w:rPr>
                <w:rFonts w:ascii="Times New Roman" w:hAnsi="Times New Roman" w:eastAsia="Times New Roman"/>
                <w:b/>
                <w:sz w:val="16"/>
              </w:rPr>
              <w:t>Status at 22 September 2026</w:t>
            </w:r>
          </w:p>
        </w:tc>
        <w:tc>
          <w:tcPr>
            <w:tcW w:type="dxa" w:w="3120"/>
            <w:vAlign w:val="center"/>
            <w:shd w:fill="D9EAD3"/>
          </w:tcPr>
          <w:p>
            <w:r>
              <w:rPr>
                <w:rFonts w:ascii="Times New Roman" w:hAnsi="Times New Roman" w:eastAsia="Times New Roman"/>
                <w:b/>
                <w:sz w:val="16"/>
              </w:rPr>
              <w:t>Verified evidence and next condition</w:t>
            </w:r>
          </w:p>
        </w:tc>
      </w:tr>
      <w:tr>
        <w:tc>
          <w:tcPr>
            <w:tcW w:type="dxa" w:w="3120"/>
            <w:vAlign w:val="top"/>
          </w:tcPr>
          <w:p>
            <w:r>
              <w:rPr>
                <w:rFonts w:ascii="Times New Roman" w:hAnsi="Times New Roman" w:eastAsia="Times New Roman"/>
                <w:b w:val="0"/>
                <w:sz w:val="16"/>
              </w:rPr>
              <w:t>A: protocol truth</w:t>
            </w:r>
          </w:p>
        </w:tc>
        <w:tc>
          <w:tcPr>
            <w:tcW w:type="dxa" w:w="3120"/>
            <w:vAlign w:val="top"/>
          </w:tcPr>
          <w:p>
            <w:r>
              <w:rPr>
                <w:rFonts w:ascii="Times New Roman" w:hAnsi="Times New Roman" w:eastAsia="Times New Roman"/>
                <w:b w:val="0"/>
                <w:sz w:val="16"/>
              </w:rPr>
              <w:t>Closed</w:t>
            </w:r>
          </w:p>
        </w:tc>
        <w:tc>
          <w:tcPr>
            <w:tcW w:type="dxa" w:w="3120"/>
            <w:vAlign w:val="top"/>
          </w:tcPr>
          <w:p>
            <w:r>
              <w:rPr>
                <w:rFonts w:ascii="Times New Roman" w:hAnsi="Times New Roman" w:eastAsia="Times New Roman"/>
                <w:b w:val="0"/>
                <w:sz w:val="16"/>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16"/>
              </w:rPr>
              <w:t>B: search execution</w:t>
            </w:r>
          </w:p>
        </w:tc>
        <w:tc>
          <w:tcPr>
            <w:tcW w:type="dxa" w:w="3120"/>
            <w:vAlign w:val="top"/>
          </w:tcPr>
          <w:p>
            <w:r>
              <w:rPr>
                <w:rFonts w:ascii="Times New Roman" w:hAnsi="Times New Roman" w:eastAsia="Times New Roman"/>
                <w:b w:val="0"/>
                <w:sz w:val="16"/>
              </w:rPr>
              <w:t>Closed with export limitations</w:t>
            </w:r>
          </w:p>
        </w:tc>
        <w:tc>
          <w:tcPr>
            <w:tcW w:type="dxa" w:w="3120"/>
            <w:vAlign w:val="top"/>
          </w:tcPr>
          <w:p>
            <w:r>
              <w:rPr>
                <w:rFonts w:ascii="Times New Roman" w:hAnsi="Times New Roman" w:eastAsia="Times New Roman"/>
                <w:b w:val="0"/>
                <w:sz w:val="16"/>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16"/>
              </w:rPr>
              <w:t>C: canonicalisation and title/abstract screening</w:t>
            </w:r>
          </w:p>
        </w:tc>
        <w:tc>
          <w:tcPr>
            <w:tcW w:type="dxa" w:w="3120"/>
            <w:vAlign w:val="top"/>
          </w:tcPr>
          <w:p>
            <w:r>
              <w:rPr>
                <w:rFonts w:ascii="Times New Roman" w:hAnsi="Times New Roman" w:eastAsia="Times New Roman"/>
                <w:b w:val="0"/>
                <w:sz w:val="16"/>
              </w:rPr>
              <w:t>Open</w:t>
            </w:r>
          </w:p>
        </w:tc>
        <w:tc>
          <w:tcPr>
            <w:tcW w:type="dxa" w:w="3120"/>
            <w:vAlign w:val="top"/>
          </w:tcPr>
          <w:p>
            <w:r>
              <w:t>Open | 440 title/metadata records screened: 40 pilot records independently screened by R1/R2 and adjudicated (25 clear exclusions; 15 provisional full-text candidates), Batch R1-B1 (100/100 exact agreement; 17 Include-for-full-text, 10 Unsure/retain-for-full-text, 73 Exclude; no adjudication disagreements), Batch B2 (17 retained for full text; 83 excluded after eight disagreements were adjudicated), Batch B3 (13 retained for full text; 87 excluded), and Batch B4 (CAN-0381-CAN-0480; 100/100 exact agreement; 0 clear includes, 11 uncertain records retained for full text, 89 exclusions; no disagreements). Cumulative: 357 clear exclusions and 83 provisional full-text candidates. The remaining 1,437 canonical identities are unresolved/non-final.</w:t>
            </w:r>
          </w:p>
        </w:tc>
      </w:tr>
      <w:tr>
        <w:tc>
          <w:tcPr>
            <w:tcW w:type="dxa" w:w="3120"/>
            <w:vAlign w:val="top"/>
          </w:tcPr>
          <w:p>
            <w:r>
              <w:rPr>
                <w:rFonts w:ascii="Times New Roman" w:hAnsi="Times New Roman" w:eastAsia="Times New Roman"/>
                <w:b w:val="0"/>
                <w:sz w:val="16"/>
              </w:rPr>
              <w:t>D: full-text eligibility</w:t>
            </w:r>
          </w:p>
        </w:tc>
        <w:tc>
          <w:tcPr>
            <w:tcW w:type="dxa" w:w="3120"/>
            <w:vAlign w:val="top"/>
          </w:tcPr>
          <w:p>
            <w:r>
              <w:rPr>
                <w:rFonts w:ascii="Times New Roman" w:hAnsi="Times New Roman" w:eastAsia="Times New Roman"/>
                <w:b w:val="0"/>
                <w:sz w:val="16"/>
              </w:rPr>
              <w:t>Not started</w:t>
            </w:r>
          </w:p>
        </w:tc>
        <w:tc>
          <w:tcPr>
            <w:tcW w:type="dxa" w:w="3120"/>
            <w:vAlign w:val="top"/>
          </w:tcPr>
          <w:p>
            <w:r>
              <w:t>Pending. The 83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16"/>
              </w:rPr>
              <w:t>E-G: extraction, RoB and certainty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fields are prepared below; no study has been extracted or appraised.</w:t>
            </w:r>
          </w:p>
        </w:tc>
      </w:tr>
      <w:tr>
        <w:tc>
          <w:tcPr>
            <w:tcW w:type="dxa" w:w="3120"/>
            <w:vAlign w:val="top"/>
          </w:tcPr>
          <w:p>
            <w:r>
              <w:rPr>
                <w:rFonts w:ascii="Times New Roman" w:hAnsi="Times New Roman" w:eastAsia="Times New Roman"/>
                <w:b w:val="0"/>
                <w:sz w:val="16"/>
              </w:rPr>
              <w:t>H-J: synthesis, reporting and final audit</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Adjudicated Batch B3 title/metadata screening update</w:t>
      </w:r>
    </w:p>
    <w:p>
      <w:pPr/>
      <w:r>
        <w:t>Batch B3 comprised CAN-0241-CAN-0340 (100 records). R1 recorded 7 Include-for-full-text and 5 Unsure/retain-for-full-text decisions, with 88 Exclude; R2 recorded 7 Retain and 1 Unsure decision, with 92 Exclude. Cross-reviewer uncertainty/disagreement affected CAN-0245, CAN-0258, CAN-0266, CAN-0282, CAN-0317 and CAN-0340. Under the conservative rule, all six were retained for full-text review; the seven clear R1/R2 retains remained retained. Final B3 disposition: 13 provisional full-text candidates and 87 exclusions. These are not final included studies.</w:t>
      </w:r>
    </w:p>
    <w:p>
      <w:pPr>
        <w:pStyle w:val="Heading2"/>
      </w:pPr>
      <w:r>
        <w:t>B4. Batch B4 title/metadata screening update</w:t>
      </w:r>
    </w:p>
    <w:p>
      <w:pPr/>
      <w:r>
        <w:t>Batch B4 comprised CAN-0381-CAN-0480 (100 records). R1 and R2 had exact agreement (100/100): 0 clear Include-for-full-text decisions, 11 Unsure/retain-for-full-text decisions and 89 Exclude decisions. No disagreements occurred. All 11 uncertain records were retained conservatively for full-text assessment. These are provisional full-text candidates, not final included studies.</w:t>
      </w:r>
    </w:p>
    <w:p>
      <w:pPr>
        <w:pStyle w:val="Heading2"/>
      </w:pPr>
      <w:r>
        <w:t>B4.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B5.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4"/>
              </w:rPr>
              <w:t>Source/layer</w:t>
            </w:r>
          </w:p>
        </w:tc>
        <w:tc>
          <w:tcPr>
            <w:tcW w:type="dxa" w:w="3120"/>
            <w:vAlign w:val="center"/>
            <w:shd w:fill="D9EAD3"/>
          </w:tcPr>
          <w:p>
            <w:r>
              <w:rPr>
                <w:rFonts w:ascii="Times New Roman" w:hAnsi="Times New Roman" w:eastAsia="Times New Roman"/>
                <w:b/>
                <w:sz w:val="14"/>
              </w:rPr>
              <w:t>Dated verified count</w:t>
            </w:r>
          </w:p>
        </w:tc>
        <w:tc>
          <w:tcPr>
            <w:tcW w:type="dxa" w:w="3120"/>
            <w:vAlign w:val="center"/>
            <w:shd w:fill="D9EAD3"/>
          </w:tcPr>
          <w:p>
            <w:r>
              <w:rPr>
                <w:rFonts w:ascii="Times New Roman" w:hAnsi="Times New Roman" w:eastAsia="Times New Roman"/>
                <w:b/>
                <w:sz w:val="14"/>
              </w:rPr>
              <w:t>Record/export limitation</w:t>
            </w:r>
          </w:p>
        </w:tc>
      </w:tr>
      <w:tr>
        <w:tc>
          <w:tcPr>
            <w:tcW w:type="dxa" w:w="3120"/>
            <w:vAlign w:val="top"/>
          </w:tcPr>
          <w:p>
            <w:r>
              <w:rPr>
                <w:rFonts w:ascii="Times New Roman" w:hAnsi="Times New Roman" w:eastAsia="Times New Roman"/>
                <w:b w:val="0"/>
                <w:sz w:val="14"/>
              </w:rPr>
              <w:t>PubMed/MEDLINE v3</w:t>
            </w:r>
          </w:p>
        </w:tc>
        <w:tc>
          <w:tcPr>
            <w:tcW w:type="dxa" w:w="3120"/>
            <w:vAlign w:val="top"/>
          </w:tcPr>
          <w:p>
            <w:r>
              <w:rPr>
                <w:rFonts w:ascii="Times New Roman" w:hAnsi="Times New Roman" w:eastAsia="Times New Roman"/>
                <w:b w:val="0"/>
                <w:sz w:val="14"/>
              </w:rPr>
              <w:t>16 Sep 2026: 140 base; 53 molecular-facet</w:t>
            </w:r>
          </w:p>
        </w:tc>
        <w:tc>
          <w:tcPr>
            <w:tcW w:type="dxa" w:w="3120"/>
            <w:vAlign w:val="top"/>
          </w:tcPr>
          <w:p>
            <w:r>
              <w:rPr>
                <w:rFonts w:ascii="Times New Roman" w:hAnsi="Times New Roman" w:eastAsia="Times New Roman"/>
                <w:b w:val="0"/>
                <w:sz w:val="14"/>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14"/>
              </w:rPr>
              <w:t>Scopus</w:t>
            </w:r>
          </w:p>
        </w:tc>
        <w:tc>
          <w:tcPr>
            <w:tcW w:type="dxa" w:w="3120"/>
            <w:vAlign w:val="top"/>
          </w:tcPr>
          <w:p>
            <w:r>
              <w:rPr>
                <w:rFonts w:ascii="Times New Roman" w:hAnsi="Times New Roman" w:eastAsia="Times New Roman"/>
                <w:b w:val="0"/>
                <w:sz w:val="14"/>
              </w:rPr>
              <w:t>16 Sep 2026: 204</w:t>
            </w:r>
          </w:p>
        </w:tc>
        <w:tc>
          <w:tcPr>
            <w:tcW w:type="dxa" w:w="3120"/>
            <w:vAlign w:val="top"/>
          </w:tcPr>
          <w:p>
            <w:r>
              <w:rPr>
                <w:rFonts w:ascii="Times New Roman" w:hAnsi="Times New Roman" w:eastAsia="Times New Roman"/>
                <w:b w:val="0"/>
                <w:sz w:val="14"/>
              </w:rPr>
              <w:t>Manual export recorded. The v1 TITLE-ABS-KEY string is retained in the run sheet.</w:t>
            </w:r>
          </w:p>
        </w:tc>
      </w:tr>
      <w:tr>
        <w:tc>
          <w:tcPr>
            <w:tcW w:type="dxa" w:w="3120"/>
            <w:vAlign w:val="top"/>
          </w:tcPr>
          <w:p>
            <w:r>
              <w:rPr>
                <w:rFonts w:ascii="Times New Roman" w:hAnsi="Times New Roman" w:eastAsia="Times New Roman"/>
                <w:b w:val="0"/>
                <w:sz w:val="14"/>
              </w:rPr>
              <w:t>ScienceDirect</w:t>
            </w:r>
          </w:p>
        </w:tc>
        <w:tc>
          <w:tcPr>
            <w:tcW w:type="dxa" w:w="3120"/>
            <w:vAlign w:val="top"/>
          </w:tcPr>
          <w:p>
            <w:r>
              <w:rPr>
                <w:rFonts w:ascii="Times New Roman" w:hAnsi="Times New Roman" w:eastAsia="Times New Roman"/>
                <w:b w:val="0"/>
                <w:sz w:val="14"/>
              </w:rPr>
              <w:t>16 Sep 2026: 25 displayed/exported</w:t>
            </w:r>
          </w:p>
        </w:tc>
        <w:tc>
          <w:tcPr>
            <w:tcW w:type="dxa" w:w="3120"/>
            <w:vAlign w:val="top"/>
          </w:tcPr>
          <w:p>
            <w:r>
              <w:rPr>
                <w:rFonts w:ascii="Times New Roman" w:hAnsi="Times New Roman" w:eastAsia="Times New Roman"/>
                <w:b w:val="0"/>
                <w:sz w:val="14"/>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14"/>
              </w:rPr>
              <w:t>WoS Starter API</w:t>
            </w:r>
          </w:p>
        </w:tc>
        <w:tc>
          <w:tcPr>
            <w:tcW w:type="dxa" w:w="3120"/>
            <w:vAlign w:val="top"/>
          </w:tcPr>
          <w:p>
            <w:r>
              <w:rPr>
                <w:rFonts w:ascii="Times New Roman" w:hAnsi="Times New Roman" w:eastAsia="Times New Roman"/>
                <w:b w:val="0"/>
                <w:sz w:val="14"/>
              </w:rPr>
              <w:t>19 Sep 2026: 175 UIDs</w:t>
            </w:r>
          </w:p>
        </w:tc>
        <w:tc>
          <w:tcPr>
            <w:tcW w:type="dxa" w:w="3120"/>
            <w:vAlign w:val="top"/>
          </w:tcPr>
          <w:p>
            <w:r>
              <w:rPr>
                <w:rFonts w:ascii="Times New Roman" w:hAnsi="Times New Roman" w:eastAsia="Times New Roman"/>
                <w:b w:val="0"/>
                <w:sz w:val="14"/>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14"/>
              </w:rPr>
              <w:t>WoS Core Collection browser</w:t>
            </w:r>
          </w:p>
        </w:tc>
        <w:tc>
          <w:tcPr>
            <w:tcW w:type="dxa" w:w="3120"/>
            <w:vAlign w:val="top"/>
          </w:tcPr>
          <w:p>
            <w:r>
              <w:rPr>
                <w:rFonts w:ascii="Times New Roman" w:hAnsi="Times New Roman" w:eastAsia="Times New Roman"/>
                <w:b w:val="0"/>
                <w:sz w:val="14"/>
              </w:rPr>
              <w:t>20 Sep 2026: 206 base; 77 molecular; 154 epidemiology; 70 wild-bird/host</w:t>
            </w:r>
          </w:p>
        </w:tc>
        <w:tc>
          <w:tcPr>
            <w:tcW w:type="dxa" w:w="3120"/>
            <w:vAlign w:val="top"/>
          </w:tcPr>
          <w:p>
            <w:r>
              <w:rPr>
                <w:rFonts w:ascii="Times New Roman" w:hAnsi="Times New Roman" w:eastAsia="Times New Roman"/>
                <w:b w:val="0"/>
                <w:sz w:val="14"/>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14"/>
              </w:rPr>
              <w:t>Google Scholar supplement</w:t>
            </w:r>
          </w:p>
        </w:tc>
        <w:tc>
          <w:tcPr>
            <w:tcW w:type="dxa" w:w="3120"/>
            <w:vAlign w:val="top"/>
          </w:tcPr>
          <w:p>
            <w:r>
              <w:rPr>
                <w:rFonts w:ascii="Times New Roman" w:hAnsi="Times New Roman" w:eastAsia="Times New Roman"/>
                <w:b w:val="0"/>
                <w:sz w:val="14"/>
              </w:rPr>
              <w:t>17 Sep 2026: 140 retrieved; 99 cross-query unique</w:t>
            </w:r>
          </w:p>
        </w:tc>
        <w:tc>
          <w:tcPr>
            <w:tcW w:type="dxa" w:w="3120"/>
            <w:vAlign w:val="top"/>
          </w:tcPr>
          <w:p>
            <w:r>
              <w:rPr>
                <w:rFonts w:ascii="Times New Roman" w:hAnsi="Times New Roman" w:eastAsia="Times New Roman"/>
                <w:b w:val="0"/>
                <w:sz w:val="14"/>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14"/>
              </w:rPr>
              <w:t>AJOL on-site</w:t>
            </w:r>
          </w:p>
        </w:tc>
        <w:tc>
          <w:tcPr>
            <w:tcW w:type="dxa" w:w="3120"/>
            <w:vAlign w:val="top"/>
          </w:tcPr>
          <w:p>
            <w:r>
              <w:rPr>
                <w:rFonts w:ascii="Times New Roman" w:hAnsi="Times New Roman" w:eastAsia="Times New Roman"/>
                <w:b w:val="0"/>
                <w:sz w:val="14"/>
              </w:rPr>
              <w:t>20 Sep 2026: 144 query rows; 79 unique pages; 73 in-window</w:t>
            </w:r>
          </w:p>
        </w:tc>
        <w:tc>
          <w:tcPr>
            <w:tcW w:type="dxa" w:w="3120"/>
            <w:vAlign w:val="top"/>
          </w:tcPr>
          <w:p>
            <w:r>
              <w:rPr>
                <w:rFonts w:ascii="Times New Roman" w:hAnsi="Times New Roman" w:eastAsia="Times New Roman"/>
                <w:b w:val="0"/>
                <w:sz w:val="14"/>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14"/>
              </w:rPr>
              <w:t>OpenAlex/Crossref supplements</w:t>
            </w:r>
          </w:p>
        </w:tc>
        <w:tc>
          <w:tcPr>
            <w:tcW w:type="dxa" w:w="3120"/>
            <w:vAlign w:val="top"/>
          </w:tcPr>
          <w:p>
            <w:r>
              <w:rPr>
                <w:rFonts w:ascii="Times New Roman" w:hAnsi="Times New Roman" w:eastAsia="Times New Roman"/>
                <w:b w:val="0"/>
                <w:sz w:val="14"/>
              </w:rPr>
              <w:t>16 Sep 2026: 1,000 exported from each raw supplement</w:t>
            </w:r>
          </w:p>
        </w:tc>
        <w:tc>
          <w:tcPr>
            <w:tcW w:type="dxa" w:w="3120"/>
            <w:vAlign w:val="top"/>
          </w:tcPr>
          <w:p>
            <w:r>
              <w:rPr>
                <w:rFonts w:ascii="Times New Roman" w:hAnsi="Times New Roman" w:eastAsia="Times New Roman"/>
                <w:b w:val="0"/>
                <w:sz w:val="14"/>
              </w:rPr>
              <w:t>Supplementary discovery layers. Their rows were reconciled in the canonical register, not treated as final included studies.</w:t>
            </w:r>
          </w:p>
        </w:tc>
      </w:tr>
    </w:tbl>
    <w:p>
      <w:pPr>
        <w:pStyle w:val="Heading2"/>
      </w:pPr>
      <w:r>
        <w:t>B6.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Adjudicated title/metadata screening outcome</w:t>
            </w:r>
          </w:p>
        </w:tc>
        <w:tc>
          <w:tcPr>
            <w:tcW w:type="dxa" w:w="3120"/>
            <w:vAlign w:val="center"/>
            <w:shd w:fill="D9EAD3"/>
          </w:tcPr>
          <w:p>
            <w:r>
              <w:rPr>
                <w:rFonts w:ascii="Times New Roman" w:hAnsi="Times New Roman" w:eastAsia="Times New Roman"/>
                <w:b/>
                <w:sz w:val="16"/>
              </w:rPr>
              <w:t>Count</w:t>
            </w:r>
          </w:p>
        </w:tc>
        <w:tc>
          <w:tcPr>
            <w:tcW w:type="dxa" w:w="3120"/>
            <w:vAlign w:val="center"/>
            <w:shd w:fill="D9EAD3"/>
          </w:tcPr>
          <w:p>
            <w:r>
              <w:rPr>
                <w:rFonts w:ascii="Times New Roman" w:hAnsi="Times New Roman" w:eastAsia="Times New Roman"/>
                <w:b/>
                <w:sz w:val="16"/>
              </w:rPr>
              <w:t>Canonical IDs / decision-reason-code status</w:t>
            </w:r>
          </w:p>
        </w:tc>
      </w:tr>
      <w:tr>
        <w:tc>
          <w:tcPr>
            <w:tcW w:type="dxa" w:w="3120"/>
            <w:vAlign w:val="top"/>
          </w:tcPr>
          <w:p>
            <w:r>
              <w:rPr>
                <w:rFonts w:ascii="Times New Roman" w:hAnsi="Times New Roman" w:eastAsia="Times New Roman"/>
                <w:b w:val="0"/>
                <w:sz w:val="16"/>
              </w:rPr>
              <w:t>Clear exclusions</w:t>
            </w:r>
          </w:p>
        </w:tc>
        <w:tc>
          <w:tcPr>
            <w:tcW w:type="dxa" w:w="3120"/>
            <w:vAlign w:val="top"/>
          </w:tcPr>
          <w:p>
            <w:r>
              <w:rPr>
                <w:rFonts w:ascii="Times New Roman" w:hAnsi="Times New Roman" w:eastAsia="Times New Roman"/>
                <w:b w:val="0"/>
                <w:sz w:val="16"/>
              </w:rPr>
              <w:t>25</w:t>
            </w:r>
          </w:p>
        </w:tc>
        <w:tc>
          <w:tcPr>
            <w:tcW w:type="dxa" w:w="3120"/>
            <w:vAlign w:val="top"/>
          </w:tcPr>
          <w:p>
            <w:r>
              <w:rPr>
                <w:rFonts w:ascii="Times New Roman" w:hAnsi="Times New Roman" w:eastAsia="Times New Roman"/>
                <w:b w:val="0"/>
                <w:sz w:val="16"/>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16"/>
              </w:rPr>
              <w:t>Retained provisionally for full text</w:t>
            </w:r>
          </w:p>
        </w:tc>
        <w:tc>
          <w:tcPr>
            <w:tcW w:type="dxa" w:w="3120"/>
            <w:vAlign w:val="top"/>
          </w:tcPr>
          <w:p>
            <w:r>
              <w:rPr>
                <w:rFonts w:ascii="Times New Roman" w:hAnsi="Times New Roman" w:eastAsia="Times New Roman"/>
                <w:b w:val="0"/>
                <w:sz w:val="16"/>
              </w:rPr>
              <w:t>15</w:t>
            </w:r>
          </w:p>
        </w:tc>
        <w:tc>
          <w:tcPr>
            <w:tcW w:type="dxa" w:w="3120"/>
            <w:vAlign w:val="top"/>
          </w:tcPr>
          <w:p>
            <w:r>
              <w:rPr>
                <w:rFonts w:ascii="Times New Roman" w:hAnsi="Times New Roman" w:eastAsia="Times New Roman"/>
                <w:b w:val="0"/>
                <w:sz w:val="16"/>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16"/>
              </w:rPr>
              <w:t>Clear title-level retains</w:t>
            </w:r>
          </w:p>
        </w:tc>
        <w:tc>
          <w:tcPr>
            <w:tcW w:type="dxa" w:w="3120"/>
            <w:vAlign w:val="top"/>
          </w:tcPr>
          <w:p>
            <w:r>
              <w:rPr>
                <w:rFonts w:ascii="Times New Roman" w:hAnsi="Times New Roman" w:eastAsia="Times New Roman"/>
                <w:b w:val="0"/>
                <w:sz w:val="16"/>
              </w:rPr>
              <w:t>11</w:t>
            </w:r>
          </w:p>
        </w:tc>
        <w:tc>
          <w:tcPr>
            <w:tcW w:type="dxa" w:w="3120"/>
            <w:vAlign w:val="top"/>
          </w:tcPr>
          <w:p>
            <w:r>
              <w:rPr>
                <w:rFonts w:ascii="Times New Roman" w:hAnsi="Times New Roman" w:eastAsia="Times New Roman"/>
                <w:b w:val="0"/>
                <w:sz w:val="16"/>
              </w:rPr>
              <w:t>Eligible-looking title/metadata; all remain provisional until full-text eligibility assessment.</w:t>
            </w:r>
          </w:p>
        </w:tc>
      </w:tr>
      <w:tr>
        <w:tc>
          <w:tcPr>
            <w:tcW w:type="dxa" w:w="3120"/>
            <w:vAlign w:val="top"/>
          </w:tcPr>
          <w:p>
            <w:r>
              <w:rPr>
                <w:rFonts w:ascii="Times New Roman" w:hAnsi="Times New Roman" w:eastAsia="Times New Roman"/>
                <w:b w:val="0"/>
                <w:sz w:val="16"/>
              </w:rPr>
              <w:t>Retained under uncertainty</w:t>
            </w:r>
          </w:p>
        </w:tc>
        <w:tc>
          <w:tcPr>
            <w:tcW w:type="dxa" w:w="3120"/>
            <w:vAlign w:val="top"/>
          </w:tcPr>
          <w:p>
            <w:r>
              <w:rPr>
                <w:rFonts w:ascii="Times New Roman" w:hAnsi="Times New Roman" w:eastAsia="Times New Roman"/>
                <w:b w:val="0"/>
                <w:sz w:val="16"/>
              </w:rPr>
              <w:t>4</w:t>
            </w:r>
          </w:p>
        </w:tc>
        <w:tc>
          <w:tcPr>
            <w:tcW w:type="dxa" w:w="3120"/>
            <w:vAlign w:val="top"/>
          </w:tcPr>
          <w:p>
            <w:r>
              <w:rPr>
                <w:rFonts w:ascii="Times New Roman" w:hAnsi="Times New Roman" w:eastAsia="Times New Roman"/>
                <w:b w:val="0"/>
                <w:sz w:val="16"/>
              </w:rPr>
              <w:t>Conservative rule applied; includes adjudicated CAN-0031 and CAN-0049. All remain provisional until full-text eligibility assessment.</w:t>
            </w:r>
          </w:p>
        </w:tc>
      </w:tr>
      <w:tr>
        <w:tc>
          <w:tcPr>
            <w:tcW w:type="dxa" w:w="3120"/>
          </w:tcPr>
          <w:p>
            <w:r>
              <w:t>Batch R1-B1: Include-for-full-text</w:t>
            </w:r>
          </w:p>
        </w:tc>
        <w:tc>
          <w:tcPr>
            <w:tcW w:type="dxa" w:w="3120"/>
          </w:tcPr>
          <w:p>
            <w:r>
              <w:t>17</w:t>
            </w:r>
          </w:p>
        </w:tc>
        <w:tc>
          <w:tcPr>
            <w:tcW w:type="dxa" w:w="3120"/>
          </w:tcPr>
          <w:p>
            <w:r>
              <w:t>Decision/reason-code category: Include. Provisional full-text candidates; not final included studies.</w:t>
            </w:r>
          </w:p>
        </w:tc>
      </w:tr>
      <w:tr>
        <w:tc>
          <w:tcPr>
            <w:tcW w:type="dxa" w:w="3120"/>
          </w:tcPr>
          <w:p>
            <w:r>
              <w:t>Batch R1-B1: Unsure/retain-for-full-text</w:t>
            </w:r>
          </w:p>
        </w:tc>
        <w:tc>
          <w:tcPr>
            <w:tcW w:type="dxa" w:w="3120"/>
          </w:tcPr>
          <w:p>
            <w:r>
              <w:t>10</w:t>
            </w:r>
          </w:p>
        </w:tc>
        <w:tc>
          <w:tcPr>
            <w:tcW w:type="dxa" w:w="3120"/>
          </w:tcPr>
          <w:p>
            <w:r>
              <w:t>Decision/reason-code category: Unsure. Retained under the conservative uncertainty rule; not final included studies.</w:t>
            </w:r>
          </w:p>
        </w:tc>
      </w:tr>
      <w:tr>
        <w:tc>
          <w:tcPr>
            <w:tcW w:type="dxa" w:w="3120"/>
          </w:tcPr>
          <w:p>
            <w:r>
              <w:t>Batch R1-B1: Exclude</w:t>
            </w:r>
          </w:p>
        </w:tc>
        <w:tc>
          <w:tcPr>
            <w:tcW w:type="dxa" w:w="3120"/>
          </w:tcPr>
          <w:p>
            <w:r>
              <w:t>73</w:t>
            </w:r>
          </w:p>
        </w:tc>
        <w:tc>
          <w:tcPr>
            <w:tcW w:type="dxa" w:w="3120"/>
          </w:tcPr>
          <w:p>
            <w:r>
              <w:t>Decision/reason-code category: Exclude. Clear title/metadata exclusions.</w:t>
            </w:r>
          </w:p>
        </w:tc>
      </w:tr>
      <w:tr>
        <w:tc>
          <w:tcPr>
            <w:tcW w:type="dxa" w:w="3120"/>
          </w:tcPr>
          <w:p>
            <w:r>
              <w:t>Batch R1-B1: exact R1/R2 agreement</w:t>
            </w:r>
          </w:p>
        </w:tc>
        <w:tc>
          <w:tcPr>
            <w:tcW w:type="dxa" w:w="3120"/>
          </w:tcPr>
          <w:p>
            <w:r>
              <w:t>100/100</w:t>
            </w:r>
          </w:p>
        </w:tc>
        <w:tc>
          <w:tcPr>
            <w:tcW w:type="dxa" w:w="3120"/>
          </w:tcPr>
          <w:p>
            <w:r>
              <w:t>First 100 non-pilot canonical records by canonical_id order, CAN-0015 through CAN-0134 with pilot IDs omitted. No adjudication disagreements.</w:t>
            </w:r>
          </w:p>
        </w:tc>
      </w:tr>
      <w:tr>
        <w:tc>
          <w:tcPr>
            <w:tcW w:type="dxa" w:w="3120"/>
          </w:tcPr>
          <w:p>
            <w:r>
              <w:t>Batch R1-B1: retained provisionally for full text</w:t>
            </w:r>
          </w:p>
        </w:tc>
        <w:tc>
          <w:tcPr>
            <w:tcW w:type="dxa" w:w="3120"/>
          </w:tcPr>
          <w:p>
            <w:r>
              <w:t>27</w:t>
            </w:r>
          </w:p>
        </w:tc>
        <w:tc>
          <w:tcPr>
            <w:tcW w:type="dxa" w:w="3120"/>
          </w:tcPr>
          <w:p>
            <w: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t>Cumulative through pilot + Batch R1-B1: clear exclusions</w:t>
            </w:r>
          </w:p>
        </w:tc>
        <w:tc>
          <w:tcPr>
            <w:tcW w:type="dxa" w:w="3120"/>
          </w:tcPr>
          <w:p>
            <w:r>
              <w:t>98</w:t>
            </w:r>
          </w:p>
        </w:tc>
        <w:tc>
          <w:tcPr>
            <w:tcW w:type="dxa" w:w="3120"/>
          </w:tcPr>
          <w:p>
            <w:r>
              <w:t>Title/metadata only; interim milestone, not a final PRISMA exclusion count.</w:t>
            </w:r>
          </w:p>
        </w:tc>
      </w:tr>
      <w:tr>
        <w:tc>
          <w:tcPr>
            <w:tcW w:type="dxa" w:w="3120"/>
          </w:tcPr>
          <w:p>
            <w:r>
              <w:t>Cumulative through pilot + Batch R1-B1: provisional full-text candidates</w:t>
            </w:r>
          </w:p>
        </w:tc>
        <w:tc>
          <w:tcPr>
            <w:tcW w:type="dxa" w:w="3120"/>
          </w:tcPr>
          <w:p>
            <w:r>
              <w:t>42</w:t>
            </w:r>
          </w:p>
        </w:tc>
        <w:tc>
          <w:tcPr>
            <w:tcW w:type="dxa" w:w="3120"/>
          </w:tcPr>
          <w:p>
            <w:r>
              <w:t>All retained records remained provisional pending full-text assessment, extraction, risk-of-bias appraisal, certainty assessment and synthesis.</w:t>
            </w:r>
          </w:p>
        </w:tc>
      </w:tr>
      <w:tr>
        <w:tc>
          <w:tcPr>
            <w:tcW w:type="dxa" w:w="3120"/>
          </w:tcPr>
          <w:p>
            <w:r>
              <w:t>Batch B2: scope</w:t>
            </w:r>
          </w:p>
        </w:tc>
        <w:tc>
          <w:tcPr>
            <w:tcW w:type="dxa" w:w="3120"/>
          </w:tcPr>
          <w:p>
            <w:r>
              <w:t>100</w:t>
            </w:r>
          </w:p>
        </w:tc>
        <w:tc>
          <w:tcPr>
            <w:tcW w:type="dxa" w:w="3120"/>
          </w:tcPr>
          <w:p>
            <w:r>
              <w:t>Next 100 non-pilot canonical records after B1: CAN-0135-CAN-0240, with pilot IDs omitted. Title/metadata screening only.</w:t>
            </w:r>
          </w:p>
        </w:tc>
      </w:tr>
      <w:tr>
        <w:tc>
          <w:tcPr>
            <w:tcW w:type="dxa" w:w="3120"/>
          </w:tcPr>
          <w:p>
            <w:r>
              <w:t>Batch B2: R1 disposition</w:t>
            </w:r>
          </w:p>
        </w:tc>
        <w:tc>
          <w:tcPr>
            <w:tcW w:type="dxa" w:w="3120"/>
          </w:tcPr>
          <w:p>
            <w:r>
              <w:t>20 retained; 80 excluded</w:t>
            </w:r>
          </w:p>
        </w:tc>
        <w:tc>
          <w:tcPr>
            <w:tcW w:type="dxa" w:w="3120"/>
          </w:tcPr>
          <w:p>
            <w:r>
              <w:t>10 Include-for-full-text; 10 Unsure/retain-for-full-text. Independent R1 title/metadata screen.</w:t>
            </w:r>
          </w:p>
        </w:tc>
      </w:tr>
      <w:tr>
        <w:tc>
          <w:tcPr>
            <w:tcW w:type="dxa" w:w="3120"/>
          </w:tcPr>
          <w:p>
            <w:r>
              <w:t>Batch B2: R2 disposition</w:t>
            </w:r>
          </w:p>
        </w:tc>
        <w:tc>
          <w:tcPr>
            <w:tcW w:type="dxa" w:w="3120"/>
          </w:tcPr>
          <w:p>
            <w:r>
              <w:t>17 retained; 83 excluded</w:t>
            </w:r>
          </w:p>
        </w:tc>
        <w:tc>
          <w:tcPr>
            <w:tcW w:type="dxa" w:w="3120"/>
          </w:tcPr>
          <w:p>
            <w:r>
              <w:t>Aggregate R2 disposition. Independent R2 title/metadata screen.</w:t>
            </w:r>
          </w:p>
        </w:tc>
      </w:tr>
      <w:tr>
        <w:tc>
          <w:tcPr>
            <w:tcW w:type="dxa" w:w="3120"/>
          </w:tcPr>
          <w:p>
            <w:r>
              <w:t>Batch B2: disagreements and adjudication</w:t>
            </w:r>
          </w:p>
        </w:tc>
        <w:tc>
          <w:tcPr>
            <w:tcW w:type="dxa" w:w="3120"/>
          </w:tcPr>
          <w:p>
            <w:r>
              <w:t>8</w:t>
            </w:r>
          </w:p>
        </w:tc>
        <w:tc>
          <w:tcPr>
            <w:tcW w:type="dxa" w:w="3120"/>
          </w:tcPr>
          <w:p>
            <w:r>
              <w:t>CAN-0151, CAN-0154, CAN-0156, CAN-0189, CAN-0210, CAN-0215, CAN-0232 and CAN-0234. Apply the frozen criteria and conservative uncertainty rule; no final study inclusion is inferred.</w:t>
            </w:r>
          </w:p>
        </w:tc>
      </w:tr>
      <w:tr>
        <w:tc>
          <w:tcPr>
            <w:tcW w:type="dxa" w:w="3120"/>
          </w:tcPr>
          <w:p>
            <w:r>
              <w:t>Batch B2: final retained provisionally for full text</w:t>
            </w:r>
          </w:p>
        </w:tc>
        <w:tc>
          <w:tcPr>
            <w:tcW w:type="dxa" w:w="3120"/>
          </w:tcPr>
          <w:p>
            <w:r>
              <w:t>17</w:t>
            </w:r>
          </w:p>
        </w:tc>
        <w:tc>
          <w:tcPr>
            <w:tcW w:type="dxa" w:w="3120"/>
          </w:tcPr>
          <w:p>
            <w:r>
              <w:t>The 14 unchanged R1 retained IDs plus CAN-0189, CAN-0215 and CAN-0232. All 17 are provisional full-text candidates, not final included studies.</w:t>
            </w:r>
          </w:p>
        </w:tc>
      </w:tr>
      <w:tr>
        <w:tc>
          <w:tcPr>
            <w:tcW w:type="dxa" w:w="3120"/>
          </w:tcPr>
          <w:p>
            <w:r>
              <w:t>Batch B2: final exclusions</w:t>
            </w:r>
          </w:p>
        </w:tc>
        <w:tc>
          <w:tcPr>
            <w:tcW w:type="dxa" w:w="3120"/>
          </w:tcPr>
          <w:p>
            <w:r>
              <w:t>83</w:t>
            </w:r>
          </w:p>
        </w:tc>
        <w:tc>
          <w:tcPr>
            <w:tcW w:type="dxa" w:w="3120"/>
          </w:tcPr>
          <w:p>
            <w:r>
              <w:t>Includes clear global/non-Nigeria CAN-0151, CAN-0154 and CAN-0156, and R2-only CAN-0210 and CAN-0234. CAN-0210 and CAN-0234 lacked title-level evidence of eligible avian-AIV empirical data under the frozen criteria.</w:t>
            </w:r>
          </w:p>
        </w:tc>
      </w:tr>
      <w:tr>
        <w:tc>
          <w:tcPr>
            <w:tcW w:type="dxa" w:w="3120"/>
          </w:tcPr>
          <w:p>
            <w:r>
              <w:t>Cumulative pilot + Batch R1-B1 + Batch B2: clear exclusions</w:t>
            </w:r>
          </w:p>
        </w:tc>
        <w:tc>
          <w:tcPr>
            <w:tcW w:type="dxa" w:w="3120"/>
          </w:tcPr>
          <w:p>
            <w:r>
              <w:t>181</w:t>
            </w:r>
          </w:p>
        </w:tc>
        <w:tc>
          <w:tcPr>
            <w:tcW w:type="dxa" w:w="3120"/>
          </w:tcPr>
          <w:p>
            <w:r>
              <w:t>Title/metadata screening only; not a final PRISMA exclusion count.</w:t>
            </w:r>
          </w:p>
        </w:tc>
      </w:tr>
      <w:tr>
        <w:tc>
          <w:tcPr>
            <w:tcW w:type="dxa" w:w="3120"/>
          </w:tcPr>
          <w:p>
            <w:r>
              <w:t>Cumulative pilot + Batch R1-B1 + Batch B2: provisional full-text candidates</w:t>
            </w:r>
          </w:p>
        </w:tc>
        <w:tc>
          <w:tcPr>
            <w:tcW w:type="dxa" w:w="3120"/>
          </w:tcPr>
          <w:p>
            <w:r>
              <w:t>59</w:t>
            </w:r>
          </w:p>
        </w:tc>
        <w:tc>
          <w:tcPr>
            <w:tcW w:type="dxa" w:w="3120"/>
          </w:tcPr>
          <w:p>
            <w:r>
              <w:t>All retained records await full-text eligibility assessment. Not final included studies; extraction, RoB, certainty, final PRISMA and SWiM synthesis remain pending.</w:t>
            </w:r>
          </w:p>
        </w:tc>
      </w:tr>
      <w:tr>
        <w:tc>
          <w:tcPr>
            <w:tcW w:type="dxa" w:w="3120"/>
          </w:tcPr>
          <w:tcPr/>
          <w:p>
            <w:r>
              <w:t>Batch B3: scope and independent dispositions</w:t>
            </w:r>
          </w:p>
        </w:tc>
        <w:tc>
          <w:tcPr>
            <w:tcW w:type="dxa" w:w="3120"/>
          </w:tcPr>
          <w:tcPr/>
          <w:p>
            <w:r>
              <w:t>100</w:t>
            </w:r>
          </w:p>
        </w:tc>
        <w:tc>
          <w:tcPr>
            <w:tcW w:type="dxa" w:w="3120"/>
          </w:tcPr>
          <w:tcPr/>
          <w:p>
            <w:r>
              <w:t>CAN-0241-CAN-0340. R1: 7 Include-for-full-text + 5 Unsure/retain-for-full-text; 88 Exclude. R2: 7 Retain + 1 Unsure; 92 Exclude.</w:t>
            </w:r>
          </w:p>
        </w:tc>
      </w:tr>
      <w:tr>
        <w:tc>
          <w:tcPr>
            <w:tcW w:type="dxa" w:w="3120"/>
          </w:tcPr>
          <w:tcPr/>
          <w:p>
            <w:r>
              <w:t>Batch B3: cross-reviewer uncertainty/disagreement and adjudication</w:t>
            </w:r>
          </w:p>
        </w:tc>
        <w:tc>
          <w:tcPr>
            <w:tcW w:type="dxa" w:w="3120"/>
          </w:tcPr>
          <w:tcPr/>
          <w:p>
            <w:r>
              <w:t>6</w:t>
            </w:r>
          </w:p>
        </w:tc>
        <w:tc>
          <w:tcPr>
            <w:tcW w:type="dxa" w:w="3120"/>
          </w:tcPr>
          <w:tcPr/>
          <w:p>
            <w:r>
              <w:t>CAN-0245, CAN-0258, CAN-0266, CAN-0282, CAN-0317 and CAN-0340. Conservative rule: retain all six for full-text review; no final study inclusion is inferred.</w:t>
            </w:r>
          </w:p>
        </w:tc>
      </w:tr>
      <w:tr>
        <w:tc>
          <w:tcPr>
            <w:tcW w:type="dxa" w:w="3120"/>
          </w:tcPr>
          <w:tcPr/>
          <w:p>
            <w:r>
              <w:t>Batch B3: final disposition</w:t>
            </w:r>
          </w:p>
        </w:tc>
        <w:tc>
          <w:tcPr>
            <w:tcW w:type="dxa" w:w="3120"/>
          </w:tcPr>
          <w:tcPr/>
          <w:p>
            <w:r>
              <w:t>13 retained; 87 excluded</w:t>
            </w:r>
          </w:p>
        </w:tc>
        <w:tc>
          <w:tcPr>
            <w:tcW w:type="dxa" w:w="3120"/>
          </w:tcPr>
          <w:tcPr/>
          <w:p>
            <w:r>
              <w:t>The seven clear R1/R2 retains remained retained, with the six uncertainty/disagreement records. All 13 are provisional full-text candidates, not final included studies.</w:t>
            </w:r>
          </w:p>
        </w:tc>
      </w:tr>
      <w:tr>
        <w:tc>
          <w:tcPr>
            <w:tcW w:type="dxa" w:w="3120"/>
          </w:tcPr>
          <w:tcPr/>
          <w:p>
            <w:r>
              <w:t>Batch B4: scope and final disposition</w:t>
            </w:r>
          </w:p>
        </w:tc>
        <w:tc>
          <w:tcPr>
            <w:tcW w:type="dxa" w:w="3120"/>
          </w:tcPr>
          <w:tcPr/>
          <w:p>
            <w:r>
              <w:t>100 records CAN-0381-CAN-0480; exact R1/R2 agreement (100/100)</w:t>
            </w:r>
          </w:p>
        </w:tc>
        <w:tc>
          <w:tcPr>
            <w:tcW w:type="dxa" w:w="3120"/>
          </w:tcPr>
          <w:tcPr/>
          <w:p>
            <w:r>
              <w:t>0 clear Include-for-full-text; 11 Unsure/retain-for-full-text, all retained provisionally for full text; 89 Exclude; no disagreements.</w:t>
            </w:r>
          </w:p>
        </w:tc>
      </w:tr>
      <w:tr>
        <w:tc>
          <w:tcPr>
            <w:tcW w:type="dxa" w:w="3120"/>
          </w:tcPr>
          <w:p>
            <w:r>
              <w:t>Cumulative pilot + Batch R1-B1 + Batch B2 + Batch B3 + Batch B4</w:t>
            </w:r>
          </w:p>
        </w:tc>
        <w:tc>
          <w:tcPr>
            <w:tcW w:type="dxa" w:w="3120"/>
          </w:tcPr>
          <w:p>
            <w:r>
              <w:t>440 screened; 357 excluded; 83 provisional full-text candidates</w:t>
            </w:r>
          </w:p>
        </w:tc>
        <w:tc>
          <w:tcPr>
            <w:tcW w:type="dxa" w:w="3120"/>
          </w:tcPr>
          <w:p>
            <w:r>
              <w:t>Title/metadata screening only. The remaining 1,437 of 1,877 canonical identities are unresolved/non-final; full-text assessment, extraction, RoB, certainty, final PRISMA flow and SWiM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At that interim milestone, the adjudicated pilot and Batch R1-B1 comprised 140 title/metadata records: 98 clear exclusions and 42 provisional full-text candidates. All retained records are provisional full-text candidates, not final included studies; no final PRISMA count has been produced.</w:t>
      </w:r>
    </w:p>
    <w:p>
      <w:pPr>
        <w:pStyle w:val="Heading2"/>
      </w:pPr>
      <w:r>
        <w:t>B7.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Stage</w:t>
            </w:r>
          </w:p>
        </w:tc>
        <w:tc>
          <w:tcPr>
            <w:tcW w:type="dxa" w:w="3120"/>
            <w:vAlign w:val="center"/>
            <w:shd w:fill="D9EAD3"/>
          </w:tcPr>
          <w:p>
            <w:r>
              <w:rPr>
                <w:rFonts w:ascii="Times New Roman" w:hAnsi="Times New Roman" w:eastAsia="Times New Roman"/>
                <w:b/>
                <w:sz w:val="16"/>
              </w:rPr>
              <w:t>Fields to complete after eligibility</w:t>
            </w:r>
          </w:p>
        </w:tc>
        <w:tc>
          <w:tcPr>
            <w:tcW w:type="dxa" w:w="3120"/>
            <w:vAlign w:val="center"/>
            <w:shd w:fill="D9EAD3"/>
          </w:tcPr>
          <w:p>
            <w:r>
              <w:rPr>
                <w:rFonts w:ascii="Times New Roman" w:hAnsi="Times New Roman" w:eastAsia="Times New Roman"/>
                <w:b/>
                <w:sz w:val="16"/>
              </w:rPr>
              <w:t>Status</w:t>
            </w:r>
          </w:p>
        </w:tc>
      </w:tr>
      <w:tr>
        <w:tc>
          <w:tcPr>
            <w:tcW w:type="dxa" w:w="3120"/>
            <w:vAlign w:val="top"/>
          </w:tcPr>
          <w:p>
            <w:r>
              <w:rPr>
                <w:rFonts w:ascii="Times New Roman" w:hAnsi="Times New Roman" w:eastAsia="Times New Roman"/>
                <w:b w:val="0"/>
                <w:sz w:val="16"/>
              </w:rPr>
              <w:t>Title/abstract log</w:t>
            </w:r>
          </w:p>
        </w:tc>
        <w:tc>
          <w:tcPr>
            <w:tcW w:type="dxa" w:w="3120"/>
            <w:vAlign w:val="top"/>
          </w:tcPr>
          <w:p>
            <w:r>
              <w:rPr>
                <w:rFonts w:ascii="Times New Roman" w:hAnsi="Times New Roman" w:eastAsia="Times New Roman"/>
                <w:b w:val="0"/>
                <w:sz w:val="16"/>
              </w:rPr>
              <w:t>Canonical ID; source lineage; reviewer and date; Nigeria link; avian laboratory confirmation; eligible evidence type; primary/extractable data; Include/Exclude/Unsure; one reason and note.</w:t>
            </w:r>
          </w:p>
        </w:tc>
        <w:tc>
          <w:tcPr>
            <w:tcW w:type="dxa" w:w="3120"/>
            <w:vAlign w:val="top"/>
          </w:tcPr>
          <w:p>
            <w:r>
              <w:t>Ready; 440 title/metadata records adjudicated, but no full-text eligibility decisions.</w:t>
            </w:r>
          </w:p>
        </w:tc>
      </w:tr>
      <w:tr>
        <w:tc>
          <w:tcPr>
            <w:tcW w:type="dxa" w:w="3120"/>
            <w:vAlign w:val="top"/>
          </w:tcPr>
          <w:p>
            <w:r>
              <w:rPr>
                <w:rFonts w:ascii="Times New Roman" w:hAnsi="Times New Roman" w:eastAsia="Times New Roman"/>
                <w:b w:val="0"/>
                <w:sz w:val="16"/>
              </w:rPr>
              <w:t>Full-text eligibility (T6)</w:t>
            </w:r>
          </w:p>
        </w:tc>
        <w:tc>
          <w:tcPr>
            <w:tcW w:type="dxa" w:w="3120"/>
            <w:vAlign w:val="top"/>
          </w:tcPr>
          <w:p>
            <w:r>
              <w:rPr>
                <w:rFonts w:ascii="Times New Roman" w:hAnsi="Times New Roman" w:eastAsia="Times New Roman"/>
                <w:b w:val="0"/>
                <w:sz w:val="16"/>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eastAsia="Times New Roman"/>
                <w:b w:val="0"/>
                <w:sz w:val="16"/>
              </w:rPr>
              <w:t>Ready; no full texts assessed.</w:t>
            </w:r>
          </w:p>
        </w:tc>
      </w:tr>
      <w:tr>
        <w:tc>
          <w:tcPr>
            <w:tcW w:type="dxa" w:w="3120"/>
            <w:vAlign w:val="top"/>
          </w:tcPr>
          <w:p>
            <w:r>
              <w:rPr>
                <w:rFonts w:ascii="Times New Roman" w:hAnsi="Times New Roman" w:eastAsia="Times New Roman"/>
                <w:b w:val="0"/>
                <w:sz w:val="16"/>
              </w:rPr>
              <w:t>Extraction (T1-T5)</w:t>
            </w:r>
          </w:p>
        </w:tc>
        <w:tc>
          <w:tcPr>
            <w:tcW w:type="dxa" w:w="3120"/>
            <w:vAlign w:val="top"/>
          </w:tcPr>
          <w:p>
            <w:r>
              <w:rPr>
                <w:rFonts w:ascii="Times New Roman" w:hAnsi="Times New Roman" w:eastAsia="Times New Roman"/>
                <w:b w:val="0"/>
                <w:sz w:val="16"/>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16"/>
              </w:rPr>
              <w:t>Ready; zero records extracted.</w:t>
            </w:r>
          </w:p>
        </w:tc>
      </w:tr>
      <w:tr>
        <w:tc>
          <w:tcPr>
            <w:tcW w:type="dxa" w:w="3120"/>
            <w:vAlign w:val="top"/>
          </w:tcPr>
          <w:p>
            <w:r>
              <w:rPr>
                <w:rFonts w:ascii="Times New Roman" w:hAnsi="Times New Roman" w:eastAsia="Times New Roman"/>
                <w:b w:val="0"/>
                <w:sz w:val="16"/>
              </w:rPr>
              <w:t>Risk of bias/certainty (T7)</w:t>
            </w:r>
          </w:p>
        </w:tc>
        <w:tc>
          <w:tcPr>
            <w:tcW w:type="dxa" w:w="3120"/>
            <w:vAlign w:val="top"/>
          </w:tcPr>
          <w:p>
            <w:r>
              <w:rPr>
                <w:rFonts w:ascii="Times New Roman" w:hAnsi="Times New Roman" w:eastAsia="Times New Roman"/>
                <w:b w:val="0"/>
                <w:sz w:val="16"/>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16"/>
              </w:rPr>
              <w:t>Ready; zero records appraised.</w:t>
            </w:r>
          </w:p>
        </w:tc>
      </w:tr>
    </w:tbl>
    <w:p>
      <w:r>
        <w:rPr>
          <w:rFonts w:ascii="Times New Roman" w:hAnsi="Times New Roman" w:eastAsia="Times New Roman"/>
          <w:b w:val="0"/>
          <w:sz w:val="20"/>
        </w:rPr>
        <w:t>Next controlled action: independently screen and adjudicate the remaining 1,337 canonical identities at title/metadata, then assess the 104 provisional candidates and any additional title/metadata retains at full text. Do not begin extraction or risk-of-bias appraisal until full-text eligibility is fixed; do not claim a final PRISMA flow, included-study count, certainty finding or SWiM synthesis until the complete screening queue is reconciled.</w:t>
      </w:r>
    </w:p>
    <w:p>
      <w:pPr>
        <w:pStyle w:val="Heading2"/>
      </w:pPr>
      <w:r>
        <w:t>B5. Adjudicated Batch B5 title/metadata screening update</w:t>
      </w:r>
    </w:p>
    <w:p>
      <w:r>
        <w:t>Batch B5 comprised CAN-0481-CAN-0580 (100 records). R1 retained 10 records and excluded 90; R2 retained 18 and excluded 82. The reviewers differed on 14 records. Applying the prespecified conservative rule, all disagreement records were retained for full-text assessment rather than being forced into exclusion. The final B5 disposition is therefore 21 provisional full-text candidates and 79 exclusions. These are provisional candidates, not final included studies; full-text eligibility remains outstanding.</w:t>
      </w:r>
    </w:p>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