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rPr>
          <w:rFonts w:ascii="Times New Roman" w:hAnsi="Times New Roman"/>
          <w:sz w:val="22"/>
        </w:rP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23 September 2026. Results status: 2,367 source rows had been reconciled into 1,877 provisional identities; the full unique register has now received a record-level dual title/metadata screen, yielding 1,581 clear exclusions and 296 provisional full-text candidates. The exact retained-ID queue is now reconstructed and recorded in the screening reconciliation register.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rPr>
          <w:rFonts w:ascii="Times New Roman" w:hAnsi="Times New Roman"/>
          <w:sz w:val="22"/>
        </w:rPr>
        <w:t>STATUS NOTE - 23 September 2026: Gate C is closed at the unique-register denominator level after the true uncovered range CAN-0341-CAN-0380 was screened. The earlier B19 pass on CAN-0241-CAN-0280 was a duplicate-range audit/retrieval pilot and is not counted as 40 new identities. The B20 pass screened CAN-0341-CAN-0380: R1 retained 4 and excluded 36; R2 retained 4 and excluded 36; one two-record decision swap was adjudicated conservatively as CAN-0344, CAN-0356, CAN-0359 and CAN-0379 retained, with CAN-0345 excluded after source verification. The unique-register aggregate is therefore 1,877 screened, 1,581 clear exclusions and 296 provisional full-text candidates. A fresh record-level R1/R2 reconstruction now covers the full register; the resulting 296-ID queue is auditable for retrieval, while full-text eligibility remains open. Gates D-J remain incomplete; no final included-study count, PRISMA flow, extraction, risk-of-bias, certainty or SWiM synthesis is claimed.</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rPr>
          <w:rFonts w:ascii="Times New Roman" w:hAnsi="Times New Roman"/>
          <w:sz w:val="22"/>
        </w:rPr>
        <w:t>Records were reconciled using symmetric DOI, PMID, or exact normalised title-plus-year matching. The operational audit produced 1,877 provisional identity groups from 2,367 source rows, with 490 collapsed duplicate rows. The controlled unique title/metadata-screening denominator is therefore 1,877. R1 and R2 independently screened and adjudicated the 40-record pilot, B1-B18 and the true B20 gap CAN-0341-CAN-0380. The earlier B19 pass on CAN-0241-CAN-0280 is retained as a duplicate-range retrieval/extraction pilot only and contributes no new screening identities. B20 had 4 retained and 36 excluded after one two-record decision swap was adjudicated conservatively. Across the unique register, the aggregate status is 1,877 screened, 1,581 clear exclusions and 296 provisional full-text candidates. The exact record-level R1/R2 adjudication lists are now recorded in the reconciliation register; retention remains provisional until full-text eligibility is assessed.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rPr>
          <w:rFonts w:ascii="Times New Roman" w:hAnsi="Times New Roman"/>
          <w:sz w:val="22"/>
        </w:rPr>
        <w:t>The evidence synthesis is not complete. Gate C record-level title/metadata screening is closed for 1,877 records, yielding 296 provisional full-text candidates. A Gate D retrieval inventory located 107 free/open routes, identified 24 metadata or subscription-only routes, and left 165 records unresolved or without an identifier; no full-text eligibility decision has been made. Gates D-J remain incomplete. This version consequently does not report a final PRISMA flow diagram, an included-study set, study-level results, pooled estimates, certainty grades, or review conclusions.</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rPr>
          <w:rFonts w:ascii="Times New Roman" w:hAnsi="Times New Roman"/>
          <w:sz w:val="22"/>
        </w:rPr>
        <w:t>Operational snapshot: 23 September 2026. This appendix records the evidence boundary and search/record-management status for this submission-stage document, including the corrected B20 gap closure and the duplicate-range B19 retrieval pilot.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20"/>
              </w:rPr>
              <w:t>Source and date</w:t>
            </w:r>
          </w:p>
        </w:tc>
        <w:tc>
          <w:tcPr>
            <w:tcW w:type="dxa" w:w="4680"/>
            <w:vAlign w:val="center"/>
            <w:shd w:fill="D9E2F3"/>
          </w:tcPr>
          <w:p>
            <w:pPr>
              <w:spacing w:after="0"/>
            </w:pPr>
            <w:r>
              <w:rPr>
                <w:rFonts w:ascii="Times New Roman" w:hAnsi="Times New Roman"/>
                <w:b/>
                <w:sz w:val="20"/>
              </w:rPr>
              <w:t>Documented search record</w:t>
            </w:r>
          </w:p>
        </w:tc>
        <w:tc>
          <w:tcPr>
            <w:tcW w:type="dxa" w:w="1296"/>
            <w:vAlign w:val="center"/>
            <w:shd w:fill="D9E2F3"/>
          </w:tcPr>
          <w:p>
            <w:pPr>
              <w:spacing w:after="0"/>
            </w:pPr>
            <w:r>
              <w:rPr>
                <w:rFonts w:ascii="Times New Roman" w:hAnsi="Times New Roman"/>
                <w:b/>
                <w:sz w:val="20"/>
              </w:rPr>
              <w:t>Count</w:t>
            </w:r>
          </w:p>
        </w:tc>
        <w:tc>
          <w:tcPr>
            <w:tcW w:type="dxa" w:w="2448"/>
            <w:vAlign w:val="center"/>
            <w:shd w:fill="D9E2F3"/>
          </w:tcPr>
          <w:p>
            <w:pPr>
              <w:spacing w:after="0"/>
            </w:pPr>
            <w:r>
              <w:rPr>
                <w:rFonts w:ascii="Times New Roman" w:hAnsi="Times New Roman"/>
                <w:b/>
                <w:sz w:val="20"/>
              </w:rPr>
              <w:t>Reproducibility status / missing field</w:t>
            </w:r>
          </w:p>
        </w:tc>
      </w:tr>
      <w:tr>
        <w:tc>
          <w:tcPr>
            <w:tcW w:type="dxa" w:w="1656"/>
            <w:vAlign w:val="top"/>
          </w:tcPr>
          <w:p>
            <w:pPr>
              <w:spacing w:after="0"/>
            </w:pPr>
            <w:r>
              <w:rPr>
                <w:rFonts w:ascii="Times New Roman" w:hAnsi="Times New Roman"/>
                <w:sz w:val="20"/>
              </w:rPr>
              <w:t>PubMed/MEDLINE; 16 Sep 2026</w:t>
            </w:r>
          </w:p>
        </w:tc>
        <w:tc>
          <w:tcPr>
            <w:tcW w:type="dxa" w:w="4680"/>
            <w:vAlign w:val="top"/>
          </w:tcPr>
          <w:p>
            <w:pPr>
              <w:spacing w:after="0"/>
            </w:pPr>
            <w:r>
              <w:rPr>
                <w:rFonts w:ascii="Times New Roman" w:hAnsi="Times New Roman"/>
                <w:sz w:val="20"/>
              </w:rPr>
              <w:t>Full v3 base and molecular facet documented below; date limit 2006/01/01–2026/09/30.</w:t>
            </w:r>
          </w:p>
        </w:tc>
        <w:tc>
          <w:tcPr>
            <w:tcW w:type="dxa" w:w="1296"/>
            <w:vAlign w:val="top"/>
          </w:tcPr>
          <w:p>
            <w:pPr>
              <w:spacing w:after="0"/>
            </w:pPr>
            <w:r>
              <w:rPr>
                <w:rFonts w:ascii="Times New Roman" w:hAnsi="Times New Roman"/>
                <w:sz w:val="20"/>
              </w:rPr>
              <w:t>140 base; 53 molecular</w:t>
            </w:r>
          </w:p>
        </w:tc>
        <w:tc>
          <w:tcPr>
            <w:tcW w:type="dxa" w:w="2448"/>
            <w:vAlign w:val="top"/>
          </w:tcPr>
          <w:p>
            <w:pPr>
              <w:spacing w:after="0"/>
            </w:pPr>
            <w:r>
              <w:rPr>
                <w:rFonts w:ascii="Times New Roman" w:hAnsi="Times New Roman"/>
                <w:sz w:val="20"/>
              </w:rPr>
              <w:t>Executed strings retained; English filter is not encoded in the v3 script record.</w:t>
            </w:r>
          </w:p>
        </w:tc>
      </w:tr>
      <w:tr>
        <w:tc>
          <w:tcPr>
            <w:tcW w:type="dxa" w:w="1656"/>
            <w:vAlign w:val="top"/>
          </w:tcPr>
          <w:p>
            <w:pPr>
              <w:spacing w:after="0"/>
            </w:pPr>
            <w:r>
              <w:rPr>
                <w:rFonts w:ascii="Times New Roman" w:hAnsi="Times New Roman"/>
                <w:sz w:val="20"/>
              </w:rPr>
              <w:t>Scopus; 16 Sep 2026</w:t>
            </w:r>
          </w:p>
        </w:tc>
        <w:tc>
          <w:tcPr>
            <w:tcW w:type="dxa" w:w="4680"/>
            <w:vAlign w:val="top"/>
          </w:tcPr>
          <w:p>
            <w:pPr>
              <w:spacing w:after="0"/>
            </w:pPr>
            <w:r>
              <w:rPr>
                <w:rFonts w:ascii="Times New Roman" w:hAnsi="Times New Roman"/>
                <w:sz w:val="20"/>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20"/>
              </w:rPr>
              <w:t>204</w:t>
            </w:r>
          </w:p>
        </w:tc>
        <w:tc>
          <w:tcPr>
            <w:tcW w:type="dxa" w:w="2448"/>
            <w:vAlign w:val="top"/>
          </w:tcPr>
          <w:p>
            <w:pPr>
              <w:spacing w:after="0"/>
            </w:pPr>
            <w:r>
              <w:rPr>
                <w:rFonts w:ascii="Times New Roman" w:hAnsi="Times New Roman"/>
                <w:sz w:val="20"/>
              </w:rPr>
              <w:t>Base syntax documented; facet lines, interface settings and export configuration are incomplete.</w:t>
            </w:r>
          </w:p>
        </w:tc>
      </w:tr>
      <w:tr>
        <w:tc>
          <w:tcPr>
            <w:tcW w:type="dxa" w:w="1656"/>
            <w:vAlign w:val="top"/>
          </w:tcPr>
          <w:p>
            <w:pPr>
              <w:spacing w:after="0"/>
            </w:pPr>
            <w:r>
              <w:rPr>
                <w:rFonts w:ascii="Times New Roman" w:hAnsi="Times New Roman"/>
                <w:sz w:val="20"/>
              </w:rPr>
              <w:t>WoS API; 19 Sep 2026</w:t>
            </w:r>
          </w:p>
        </w:tc>
        <w:tc>
          <w:tcPr>
            <w:tcW w:type="dxa" w:w="4680"/>
            <w:vAlign w:val="top"/>
          </w:tcPr>
          <w:p>
            <w:pPr>
              <w:spacing w:after="0"/>
            </w:pPr>
            <w:r>
              <w:rPr>
                <w:rFonts w:ascii="Times New Roman" w:hAnsi="Times New Roman"/>
                <w:sz w:val="20"/>
              </w:rPr>
              <w:t>TS=("avian influenza" OR AIV OR HPAI OR LPAI OR H5N1 OR H9N2) AND TS=(Nigeria OR Nigerian) AND PY=(2006-2026).</w:t>
            </w:r>
          </w:p>
        </w:tc>
        <w:tc>
          <w:tcPr>
            <w:tcW w:type="dxa" w:w="1296"/>
            <w:vAlign w:val="top"/>
          </w:tcPr>
          <w:p>
            <w:pPr>
              <w:spacing w:after="0"/>
            </w:pPr>
            <w:r>
              <w:rPr>
                <w:rFonts w:ascii="Times New Roman" w:hAnsi="Times New Roman"/>
                <w:sz w:val="20"/>
              </w:rPr>
              <w:t>175 unique UIDs</w:t>
            </w:r>
          </w:p>
        </w:tc>
        <w:tc>
          <w:tcPr>
            <w:tcW w:type="dxa" w:w="2448"/>
            <w:vAlign w:val="top"/>
          </w:tcPr>
          <w:p>
            <w:pPr>
              <w:spacing w:after="0"/>
            </w:pPr>
            <w:r>
              <w:rPr>
                <w:rFonts w:ascii="Times New Roman" w:hAnsi="Times New Roman"/>
                <w:sz w:val="20"/>
              </w:rPr>
              <w:t>Imported API layer; no English filter recorded.</w:t>
            </w:r>
          </w:p>
        </w:tc>
      </w:tr>
      <w:tr>
        <w:tc>
          <w:tcPr>
            <w:tcW w:type="dxa" w:w="1656"/>
            <w:vAlign w:val="top"/>
          </w:tcPr>
          <w:p>
            <w:pPr>
              <w:spacing w:after="0"/>
            </w:pPr>
            <w:r>
              <w:rPr>
                <w:rFonts w:ascii="Times New Roman" w:hAnsi="Times New Roman"/>
                <w:sz w:val="20"/>
              </w:rPr>
              <w:t>WoS Core Collection; 20 Sep 2026</w:t>
            </w:r>
          </w:p>
        </w:tc>
        <w:tc>
          <w:tcPr>
            <w:tcW w:type="dxa" w:w="4680"/>
            <w:vAlign w:val="top"/>
          </w:tcPr>
          <w:p>
            <w:pPr>
              <w:spacing w:after="0"/>
            </w:pPr>
            <w:r>
              <w:rPr>
                <w:rFonts w:ascii="Times New Roman" w:hAnsi="Times New Roman"/>
                <w:sz w:val="20"/>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20"/>
              </w:rPr>
              <w:t>206 base; 77 molecular; 154 epidemiology; 70 host</w:t>
            </w:r>
          </w:p>
        </w:tc>
        <w:tc>
          <w:tcPr>
            <w:tcW w:type="dxa" w:w="2448"/>
            <w:vAlign w:val="top"/>
          </w:tcPr>
          <w:p>
            <w:pPr>
              <w:spacing w:after="0"/>
            </w:pPr>
            <w:r>
              <w:rPr>
                <w:rFonts w:ascii="Times New Roman" w:hAnsi="Times New Roman"/>
                <w:sz w:val="20"/>
              </w:rPr>
              <w:t>Displayed counts only; no reliable complete record export. Do not add to the 175 UIDs.</w:t>
            </w:r>
          </w:p>
        </w:tc>
      </w:tr>
      <w:tr>
        <w:tc>
          <w:tcPr>
            <w:tcW w:type="dxa" w:w="1656"/>
            <w:vAlign w:val="top"/>
          </w:tcPr>
          <w:p>
            <w:pPr>
              <w:spacing w:after="0"/>
            </w:pPr>
            <w:r>
              <w:rPr>
                <w:rFonts w:ascii="Times New Roman" w:hAnsi="Times New Roman"/>
                <w:sz w:val="20"/>
              </w:rPr>
              <w:t>ScienceDirect; 16 Sep 2026</w:t>
            </w:r>
          </w:p>
        </w:tc>
        <w:tc>
          <w:tcPr>
            <w:tcW w:type="dxa" w:w="4680"/>
            <w:vAlign w:val="top"/>
          </w:tcPr>
          <w:p>
            <w:pPr>
              <w:spacing w:after="0"/>
            </w:pPr>
            <w:r>
              <w:rPr>
                <w:rFonts w:ascii="Times New Roman" w:hAnsi="Times New Roman"/>
                <w:sz w:val="20"/>
              </w:rPr>
              <w:t>Abbreviated record only: Scopus-derived title/abstract/key-word variant, 2006–2026.</w:t>
            </w:r>
          </w:p>
        </w:tc>
        <w:tc>
          <w:tcPr>
            <w:tcW w:type="dxa" w:w="1296"/>
            <w:vAlign w:val="top"/>
          </w:tcPr>
          <w:p>
            <w:pPr>
              <w:spacing w:after="0"/>
            </w:pPr>
            <w:r>
              <w:rPr>
                <w:rFonts w:ascii="Times New Roman" w:hAnsi="Times New Roman"/>
                <w:sz w:val="20"/>
              </w:rPr>
              <w:t>25 displayed/exported</w:t>
            </w:r>
          </w:p>
        </w:tc>
        <w:tc>
          <w:tcPr>
            <w:tcW w:type="dxa" w:w="2448"/>
            <w:vAlign w:val="top"/>
          </w:tcPr>
          <w:p>
            <w:pPr>
              <w:spacing w:after="0"/>
            </w:pPr>
            <w:r>
              <w:rPr>
                <w:rFonts w:ascii="Times New Roman" w:hAnsi="Times New Roman"/>
                <w:sz w:val="20"/>
              </w:rPr>
              <w:t>Exact as-run string, filters, cap and platform configuration are not documented.</w:t>
            </w:r>
          </w:p>
        </w:tc>
      </w:tr>
      <w:tr>
        <w:tc>
          <w:tcPr>
            <w:tcW w:type="dxa" w:w="1656"/>
            <w:vAlign w:val="top"/>
          </w:tcPr>
          <w:p>
            <w:pPr>
              <w:spacing w:after="0"/>
            </w:pPr>
            <w:r>
              <w:rPr>
                <w:rFonts w:ascii="Times New Roman" w:hAnsi="Times New Roman"/>
                <w:sz w:val="20"/>
              </w:rPr>
              <w:t>Google Scholar; 17 Sep 2026</w:t>
            </w:r>
          </w:p>
        </w:tc>
        <w:tc>
          <w:tcPr>
            <w:tcW w:type="dxa" w:w="4680"/>
            <w:vAlign w:val="top"/>
          </w:tcPr>
          <w:p>
            <w:pPr>
              <w:spacing w:after="0"/>
            </w:pPr>
            <w:r>
              <w:rPr>
                <w:rFonts w:ascii="Times New Roman" w:hAnsi="Times New Roman"/>
                <w:sz w:val="20"/>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20"/>
              </w:rPr>
              <w:t>140 retrieved; 99 unique</w:t>
            </w:r>
          </w:p>
        </w:tc>
        <w:tc>
          <w:tcPr>
            <w:tcW w:type="dxa" w:w="2448"/>
            <w:vAlign w:val="top"/>
          </w:tcPr>
          <w:p>
            <w:pPr>
              <w:spacing w:after="0"/>
            </w:pPr>
            <w:r>
              <w:rPr>
                <w:rFonts w:ascii="Times New Roman" w:hAnsi="Times New Roman"/>
                <w:sz w:val="20"/>
              </w:rPr>
              <w:t>Supplementary only; no persistent export. Not a primary PRISMA identification layer.</w:t>
            </w:r>
          </w:p>
        </w:tc>
      </w:tr>
      <w:tr>
        <w:tc>
          <w:tcPr>
            <w:tcW w:type="dxa" w:w="1656"/>
            <w:vAlign w:val="top"/>
          </w:tcPr>
          <w:p>
            <w:pPr>
              <w:spacing w:after="0"/>
            </w:pPr>
            <w:r>
              <w:rPr>
                <w:rFonts w:ascii="Times New Roman" w:hAnsi="Times New Roman"/>
                <w:sz w:val="20"/>
              </w:rPr>
              <w:t>AJOL; 20 Sep 2026</w:t>
            </w:r>
          </w:p>
        </w:tc>
        <w:tc>
          <w:tcPr>
            <w:tcW w:type="dxa" w:w="4680"/>
            <w:vAlign w:val="top"/>
          </w:tcPr>
          <w:p>
            <w:pPr>
              <w:spacing w:after="0"/>
            </w:pPr>
            <w:r>
              <w:rPr>
                <w:rFonts w:ascii="Times New Roman" w:hAnsi="Times New Roman"/>
                <w:sz w:val="20"/>
              </w:rPr>
              <w:t>Nine exact mandatory-term queries are listed below.</w:t>
            </w:r>
          </w:p>
        </w:tc>
        <w:tc>
          <w:tcPr>
            <w:tcW w:type="dxa" w:w="1296"/>
            <w:vAlign w:val="top"/>
          </w:tcPr>
          <w:p>
            <w:pPr>
              <w:spacing w:after="0"/>
            </w:pPr>
            <w:r>
              <w:rPr>
                <w:rFonts w:ascii="Times New Roman" w:hAnsi="Times New Roman"/>
                <w:sz w:val="20"/>
              </w:rPr>
              <w:t>144 query rows; 79 unique URLs; 73 in-window</w:t>
            </w:r>
          </w:p>
        </w:tc>
        <w:tc>
          <w:tcPr>
            <w:tcW w:type="dxa" w:w="2448"/>
            <w:vAlign w:val="top"/>
          </w:tcPr>
          <w:p>
            <w:pPr>
              <w:spacing w:after="0"/>
            </w:pPr>
            <w:r>
              <w:rPr>
                <w:rFonts w:ascii="Times New Roman" w:hAnsi="Times New Roman"/>
                <w:sz w:val="20"/>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rPr>
          <w:rFonts w:ascii="Times New Roman" w:hAnsi="Times New Roman"/>
          <w:sz w:val="22"/>
        </w:rPr>
        <w:t>The canonical register reports 2,367 source rows, 1,877 provisional identity groups and 490 collapsed duplicate rows. The controlled unique title/metadata-screening denominator is 1,877. The pilot, B1-B18 and B20 were screened through the dual-review workflow; B19 was a duplicate-range audit on CAN-0241-CAN-0280 and is not additive. The resulting record-level status is 1,877 screened, 1,581 clear exclusions and 296 provisional full-text candidates. These outcomes do not finalise study inclusion or PRISMA counts. The exact retained-ID queue is now recorded;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20"/>
              </w:rPr>
              <w:t>Gate</w:t>
            </w:r>
          </w:p>
        </w:tc>
        <w:tc>
          <w:tcPr>
            <w:tcW w:type="dxa" w:w="4032"/>
            <w:vAlign w:val="center"/>
            <w:shd w:fill="D9E2F3"/>
          </w:tcPr>
          <w:p>
            <w:pPr>
              <w:spacing w:after="0"/>
            </w:pPr>
            <w:r>
              <w:rPr>
                <w:rFonts w:ascii="Times New Roman" w:hAnsi="Times New Roman"/>
                <w:b/>
                <w:sz w:val="20"/>
              </w:rPr>
              <w:t>Required stage</w:t>
            </w:r>
          </w:p>
        </w:tc>
        <w:tc>
          <w:tcPr>
            <w:tcW w:type="dxa" w:w="5256"/>
            <w:vAlign w:val="center"/>
            <w:shd w:fill="D9E2F3"/>
          </w:tcPr>
          <w:p>
            <w:pPr>
              <w:spacing w:after="0"/>
            </w:pPr>
            <w:r>
              <w:rPr>
                <w:rFonts w:ascii="Times New Roman" w:hAnsi="Times New Roman"/>
                <w:b/>
                <w:sz w:val="20"/>
              </w:rPr>
              <w:t>Status at 20 Sep 2026</w:t>
            </w:r>
          </w:p>
        </w:tc>
      </w:tr>
      <w:tr>
        <w:tc>
          <w:tcPr>
            <w:tcW w:type="dxa" w:w="792"/>
            <w:vAlign w:val="top"/>
          </w:tcPr>
          <w:p>
            <w:pPr>
              <w:spacing w:after="0"/>
            </w:pPr>
            <w:r>
              <w:rPr>
                <w:rFonts w:ascii="Times New Roman" w:hAnsi="Times New Roman"/>
                <w:sz w:val="20"/>
              </w:rPr>
              <w:t>C</w:t>
            </w:r>
          </w:p>
        </w:tc>
        <w:tc>
          <w:tcPr>
            <w:tcW w:type="dxa" w:w="4032"/>
            <w:vAlign w:val="top"/>
          </w:tcPr>
          <w:p>
            <w:pPr>
              <w:spacing w:after="0"/>
            </w:pPr>
            <w:r>
              <w:rPr>
                <w:rFonts w:ascii="Times New Roman" w:hAnsi="Times New Roman"/>
                <w:sz w:val="20"/>
              </w:rPr>
              <w:t>Screening reconciliation</w:t>
            </w:r>
          </w:p>
        </w:tc>
        <w:tc>
          <w:tcPr>
            <w:tcW w:type="dxa" w:w="5256"/>
            <w:vAlign w:val="top"/>
          </w:tcPr>
          <w:p>
            <w:r>
              <w:rPr>
                <w:rFonts w:ascii="Times New Roman" w:hAnsi="Times New Roman"/>
                <w:sz w:val="20"/>
              </w:rPr>
              <w:t>Closed at unique-register coverage level but retained-ID audit remains open - 1,877 unique records screened in aggregate: 1,581 clear exclusions and 296 provisional full-text candidates. The B19 duplicate-range pilot is non-additive; exact retained IDs from earlier batches still require reconstruction.</w:t>
            </w:r>
          </w:p>
        </w:tc>
      </w:tr>
      <w:tr>
        <w:tc>
          <w:tcPr>
            <w:tcW w:type="dxa" w:w="792"/>
            <w:vAlign w:val="top"/>
          </w:tcPr>
          <w:p>
            <w:pPr>
              <w:spacing w:after="0"/>
            </w:pPr>
            <w:r>
              <w:rPr>
                <w:rFonts w:ascii="Times New Roman" w:hAnsi="Times New Roman"/>
                <w:sz w:val="20"/>
              </w:rPr>
              <w:t>D</w:t>
            </w:r>
          </w:p>
        </w:tc>
        <w:tc>
          <w:tcPr>
            <w:tcW w:type="dxa" w:w="4032"/>
            <w:vAlign w:val="top"/>
          </w:tcPr>
          <w:p>
            <w:pPr>
              <w:spacing w:after="0"/>
            </w:pPr>
            <w:r>
              <w:rPr>
                <w:rFonts w:ascii="Times New Roman" w:hAnsi="Times New Roman"/>
                <w:sz w:val="20"/>
              </w:rPr>
              <w:t>Full-text eligibility</w:t>
            </w:r>
          </w:p>
        </w:tc>
        <w:tc>
          <w:tcPr>
            <w:tcW w:type="dxa" w:w="5256"/>
            <w:vAlign w:val="top"/>
          </w:tcPr>
          <w:p>
            <w:r>
              <w:rPr>
                <w:rFonts w:ascii="Times New Roman" w:hAnsi="Times New Roman"/>
                <w:sz w:val="20"/>
              </w:rPr>
              <w:t>Pending - 296 provisional candidates await full-text assessment after the retained-ID queue is reconstructed; no final eligibility decisions.</w:t>
            </w:r>
          </w:p>
        </w:tc>
      </w:tr>
      <w:tr>
        <w:tc>
          <w:tcPr>
            <w:tcW w:type="dxa" w:w="792"/>
            <w:vAlign w:val="top"/>
          </w:tcPr>
          <w:p>
            <w:pPr>
              <w:spacing w:after="0"/>
            </w:pPr>
            <w:r>
              <w:rPr>
                <w:rFonts w:ascii="Times New Roman" w:hAnsi="Times New Roman"/>
                <w:sz w:val="20"/>
              </w:rPr>
              <w:t>E</w:t>
            </w:r>
          </w:p>
        </w:tc>
        <w:tc>
          <w:tcPr>
            <w:tcW w:type="dxa" w:w="4032"/>
            <w:vAlign w:val="top"/>
          </w:tcPr>
          <w:p>
            <w:pPr>
              <w:spacing w:after="0"/>
            </w:pPr>
            <w:r>
              <w:rPr>
                <w:rFonts w:ascii="Times New Roman" w:hAnsi="Times New Roman"/>
                <w:sz w:val="20"/>
              </w:rPr>
              <w:t>Extraction pilot</w:t>
            </w:r>
          </w:p>
        </w:tc>
        <w:tc>
          <w:tcPr>
            <w:tcW w:type="dxa" w:w="5256"/>
            <w:vAlign w:val="top"/>
          </w:tcPr>
          <w:p>
            <w:pPr>
              <w:spacing w:after="0"/>
            </w:pPr>
            <w:r>
              <w:rPr>
                <w:rFonts w:ascii="Times New Roman" w:hAnsi="Times New Roman"/>
                <w:sz w:val="20"/>
              </w:rPr>
              <w:t>Pending – no records extracted.</w:t>
            </w:r>
          </w:p>
        </w:tc>
      </w:tr>
      <w:tr>
        <w:tc>
          <w:tcPr>
            <w:tcW w:type="dxa" w:w="792"/>
            <w:vAlign w:val="top"/>
          </w:tcPr>
          <w:p>
            <w:pPr>
              <w:spacing w:after="0"/>
            </w:pPr>
            <w:r>
              <w:rPr>
                <w:rFonts w:ascii="Times New Roman" w:hAnsi="Times New Roman"/>
                <w:sz w:val="20"/>
              </w:rPr>
              <w:t>F</w:t>
            </w:r>
          </w:p>
        </w:tc>
        <w:tc>
          <w:tcPr>
            <w:tcW w:type="dxa" w:w="4032"/>
            <w:vAlign w:val="top"/>
          </w:tcPr>
          <w:p>
            <w:pPr>
              <w:spacing w:after="0"/>
            </w:pPr>
            <w:r>
              <w:rPr>
                <w:rFonts w:ascii="Times New Roman" w:hAnsi="Times New Roman"/>
                <w:sz w:val="20"/>
              </w:rPr>
              <w:t>Full extraction and evidence tables</w:t>
            </w:r>
          </w:p>
        </w:tc>
        <w:tc>
          <w:tcPr>
            <w:tcW w:type="dxa" w:w="5256"/>
            <w:vAlign w:val="top"/>
          </w:tcPr>
          <w:p>
            <w:pPr>
              <w:spacing w:after="0"/>
            </w:pPr>
            <w:r>
              <w:rPr>
                <w:rFonts w:ascii="Times New Roman" w:hAnsi="Times New Roman"/>
                <w:sz w:val="20"/>
              </w:rPr>
              <w:t>Pending – no records extracted.</w:t>
            </w:r>
          </w:p>
        </w:tc>
      </w:tr>
      <w:tr>
        <w:tc>
          <w:tcPr>
            <w:tcW w:type="dxa" w:w="792"/>
            <w:vAlign w:val="top"/>
          </w:tcPr>
          <w:p>
            <w:pPr>
              <w:spacing w:after="0"/>
            </w:pPr>
            <w:r>
              <w:rPr>
                <w:rFonts w:ascii="Times New Roman" w:hAnsi="Times New Roman"/>
                <w:sz w:val="20"/>
              </w:rPr>
              <w:t>G</w:t>
            </w:r>
          </w:p>
        </w:tc>
        <w:tc>
          <w:tcPr>
            <w:tcW w:type="dxa" w:w="4032"/>
            <w:vAlign w:val="top"/>
          </w:tcPr>
          <w:p>
            <w:pPr>
              <w:spacing w:after="0"/>
            </w:pPr>
            <w:r>
              <w:rPr>
                <w:rFonts w:ascii="Times New Roman" w:hAnsi="Times New Roman"/>
                <w:sz w:val="20"/>
              </w:rPr>
              <w:t>JBI and molecular risk-of-bias appraisal</w:t>
            </w:r>
          </w:p>
        </w:tc>
        <w:tc>
          <w:tcPr>
            <w:tcW w:type="dxa" w:w="5256"/>
            <w:vAlign w:val="top"/>
          </w:tcPr>
          <w:p>
            <w:pPr>
              <w:spacing w:after="0"/>
            </w:pPr>
            <w:r>
              <w:rPr>
                <w:rFonts w:ascii="Times New Roman" w:hAnsi="Times New Roman"/>
                <w:sz w:val="20"/>
              </w:rPr>
              <w:t>Pending – no records appraised.</w:t>
            </w:r>
          </w:p>
        </w:tc>
      </w:tr>
      <w:tr>
        <w:tc>
          <w:tcPr>
            <w:tcW w:type="dxa" w:w="792"/>
            <w:vAlign w:val="top"/>
          </w:tcPr>
          <w:p>
            <w:pPr>
              <w:spacing w:after="0"/>
            </w:pPr>
            <w:r>
              <w:rPr>
                <w:rFonts w:ascii="Times New Roman" w:hAnsi="Times New Roman"/>
                <w:sz w:val="20"/>
              </w:rPr>
              <w:t>H</w:t>
            </w:r>
          </w:p>
        </w:tc>
        <w:tc>
          <w:tcPr>
            <w:tcW w:type="dxa" w:w="4032"/>
            <w:vAlign w:val="top"/>
          </w:tcPr>
          <w:p>
            <w:pPr>
              <w:spacing w:after="0"/>
            </w:pPr>
            <w:r>
              <w:rPr>
                <w:rFonts w:ascii="Times New Roman" w:hAnsi="Times New Roman"/>
                <w:sz w:val="20"/>
              </w:rPr>
              <w:t>SWiM synthesis and certainty narrative</w:t>
            </w:r>
          </w:p>
        </w:tc>
        <w:tc>
          <w:tcPr>
            <w:tcW w:type="dxa" w:w="5256"/>
            <w:vAlign w:val="top"/>
          </w:tcPr>
          <w:p>
            <w:pPr>
              <w:spacing w:after="0"/>
            </w:pPr>
            <w:r>
              <w:rPr>
                <w:rFonts w:ascii="Times New Roman" w:hAnsi="Times New Roman"/>
                <w:sz w:val="20"/>
              </w:rPr>
              <w:t>Pending – no synthesis or certainty narrative.</w:t>
            </w:r>
          </w:p>
        </w:tc>
      </w:tr>
      <w:tr>
        <w:tc>
          <w:tcPr>
            <w:tcW w:type="dxa" w:w="792"/>
            <w:vAlign w:val="top"/>
          </w:tcPr>
          <w:p>
            <w:pPr>
              <w:spacing w:after="0"/>
            </w:pPr>
            <w:r>
              <w:rPr>
                <w:rFonts w:ascii="Times New Roman" w:hAnsi="Times New Roman"/>
                <w:sz w:val="20"/>
              </w:rPr>
              <w:t>I</w:t>
            </w:r>
          </w:p>
        </w:tc>
        <w:tc>
          <w:tcPr>
            <w:tcW w:type="dxa" w:w="4032"/>
            <w:vAlign w:val="top"/>
          </w:tcPr>
          <w:p>
            <w:pPr>
              <w:spacing w:after="0"/>
            </w:pPr>
            <w:r>
              <w:rPr>
                <w:rFonts w:ascii="Times New Roman" w:hAnsi="Times New Roman"/>
                <w:sz w:val="20"/>
              </w:rPr>
              <w:t>PRISMA flow and manuscript reporting</w:t>
            </w:r>
          </w:p>
        </w:tc>
        <w:tc>
          <w:tcPr>
            <w:tcW w:type="dxa" w:w="5256"/>
            <w:vAlign w:val="top"/>
          </w:tcPr>
          <w:p>
            <w:pPr>
              <w:spacing w:after="0"/>
            </w:pPr>
            <w:r>
              <w:rPr>
                <w:rFonts w:ascii="Times New Roman" w:hAnsi="Times New Roman"/>
                <w:sz w:val="20"/>
              </w:rPr>
              <w:t>Pending – no final counts or flow.</w:t>
            </w:r>
          </w:p>
        </w:tc>
      </w:tr>
      <w:tr>
        <w:tc>
          <w:tcPr>
            <w:tcW w:type="dxa" w:w="792"/>
            <w:vAlign w:val="top"/>
          </w:tcPr>
          <w:p>
            <w:pPr>
              <w:spacing w:after="0"/>
            </w:pPr>
            <w:r>
              <w:rPr>
                <w:rFonts w:ascii="Times New Roman" w:hAnsi="Times New Roman"/>
                <w:sz w:val="20"/>
              </w:rPr>
              <w:t>J</w:t>
            </w:r>
          </w:p>
        </w:tc>
        <w:tc>
          <w:tcPr>
            <w:tcW w:type="dxa" w:w="4032"/>
            <w:vAlign w:val="top"/>
          </w:tcPr>
          <w:p>
            <w:pPr>
              <w:spacing w:after="0"/>
            </w:pPr>
            <w:r>
              <w:rPr>
                <w:rFonts w:ascii="Times New Roman" w:hAnsi="Times New Roman"/>
                <w:sz w:val="20"/>
              </w:rPr>
              <w:t>PRISMA 2020/PRISMA-S/SWiM audit</w:t>
            </w:r>
          </w:p>
        </w:tc>
        <w:tc>
          <w:tcPr>
            <w:tcW w:type="dxa" w:w="5256"/>
            <w:vAlign w:val="top"/>
          </w:tcPr>
          <w:p>
            <w:pPr>
              <w:spacing w:after="0"/>
            </w:pPr>
            <w:r>
              <w:rPr>
                <w:rFonts w:ascii="Times New Roman" w:hAnsi="Times New Roman"/>
                <w:sz w:val="20"/>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rPr>
          <w:rFonts w:ascii="Times New Roman" w:hAnsi="Times New Roman"/>
          <w:sz w:val="22"/>
        </w:rPr>
        <w:t>Dated 23 September 2026. This appendix supersedes no source record: it consolidates the current gate state for this submission-stage status report, including the Batch B4-B20 title/metadata updates and the B19 duplicate-range retrieval/extraction pilot.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20"/>
              </w:rPr>
              <w:t>Gate</w:t>
            </w:r>
          </w:p>
        </w:tc>
        <w:tc>
          <w:tcPr>
            <w:tcW w:type="dxa" w:w="3120"/>
            <w:vAlign w:val="center"/>
            <w:shd w:fill="D9EAD3"/>
          </w:tcPr>
          <w:p>
            <w:r>
              <w:rPr>
                <w:rFonts w:ascii="Times New Roman" w:hAnsi="Times New Roman" w:eastAsia="Times New Roman"/>
                <w:b/>
                <w:sz w:val="20"/>
              </w:rPr>
              <w:t>Status at 22 September 2026</w:t>
            </w:r>
          </w:p>
        </w:tc>
        <w:tc>
          <w:tcPr>
            <w:tcW w:type="dxa" w:w="3120"/>
            <w:vAlign w:val="center"/>
            <w:shd w:fill="D9EAD3"/>
          </w:tcPr>
          <w:p>
            <w:r>
              <w:rPr>
                <w:rFonts w:ascii="Times New Roman" w:hAnsi="Times New Roman" w:eastAsia="Times New Roman"/>
                <w:b/>
                <w:sz w:val="20"/>
              </w:rPr>
              <w:t>Verified evidence and next condition</w:t>
            </w:r>
          </w:p>
        </w:tc>
      </w:tr>
      <w:tr>
        <w:tc>
          <w:tcPr>
            <w:tcW w:type="dxa" w:w="3120"/>
            <w:vAlign w:val="top"/>
          </w:tcPr>
          <w:p>
            <w:r>
              <w:rPr>
                <w:rFonts w:ascii="Times New Roman" w:hAnsi="Times New Roman" w:eastAsia="Times New Roman"/>
                <w:b w:val="0"/>
                <w:sz w:val="20"/>
              </w:rPr>
              <w:t>A: protocol truth</w:t>
            </w:r>
          </w:p>
        </w:tc>
        <w:tc>
          <w:tcPr>
            <w:tcW w:type="dxa" w:w="3120"/>
            <w:vAlign w:val="top"/>
          </w:tcPr>
          <w:p>
            <w:r>
              <w:rPr>
                <w:rFonts w:ascii="Times New Roman" w:hAnsi="Times New Roman" w:eastAsia="Times New Roman"/>
                <w:b w:val="0"/>
                <w:sz w:val="20"/>
              </w:rPr>
              <w:t>Closed</w:t>
            </w:r>
          </w:p>
        </w:tc>
        <w:tc>
          <w:tcPr>
            <w:tcW w:type="dxa" w:w="3120"/>
            <w:vAlign w:val="top"/>
          </w:tcPr>
          <w:p>
            <w:r>
              <w:rPr>
                <w:rFonts w:ascii="Times New Roman" w:hAnsi="Times New Roman" w:eastAsia="Times New Roman"/>
                <w:b w:val="0"/>
                <w:sz w:val="20"/>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20"/>
              </w:rPr>
              <w:t>B: search execution</w:t>
            </w:r>
          </w:p>
        </w:tc>
        <w:tc>
          <w:tcPr>
            <w:tcW w:type="dxa" w:w="3120"/>
            <w:vAlign w:val="top"/>
          </w:tcPr>
          <w:p>
            <w:r>
              <w:rPr>
                <w:rFonts w:ascii="Times New Roman" w:hAnsi="Times New Roman" w:eastAsia="Times New Roman"/>
                <w:b w:val="0"/>
                <w:sz w:val="20"/>
              </w:rPr>
              <w:t>Closed with export limitations</w:t>
            </w:r>
          </w:p>
        </w:tc>
        <w:tc>
          <w:tcPr>
            <w:tcW w:type="dxa" w:w="3120"/>
            <w:vAlign w:val="top"/>
          </w:tcPr>
          <w:p>
            <w:r>
              <w:rPr>
                <w:rFonts w:ascii="Times New Roman" w:hAnsi="Times New Roman" w:eastAsia="Times New Roman"/>
                <w:b w:val="0"/>
                <w:sz w:val="20"/>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20"/>
              </w:rPr>
              <w:t>C: canonicalisation and title/abstract screening</w:t>
            </w:r>
          </w:p>
        </w:tc>
        <w:tc>
          <w:tcPr>
            <w:tcW w:type="dxa" w:w="3120"/>
            <w:vAlign w:val="top"/>
          </w:tcPr>
          <w:p>
            <w:r>
              <w:rPr>
                <w:rFonts w:ascii="Times New Roman" w:hAnsi="Times New Roman"/>
                <w:sz w:val="20"/>
              </w:rPr>
              <w:t>Aggregate unique-register screening covered 1,877 records: 1,581 exclusions and 296 provisional full-text candidates. B19 was a duplicate-range audit; exact earlier retained IDs still require reconstruction.</w:t>
            </w:r>
          </w:p>
        </w:tc>
        <w:tc>
          <w:tcPr>
            <w:tcW w:type="dxa" w:w="3120"/>
            <w:vAlign w:val="top"/>
          </w:tcPr>
          <w:p>
            <w:r>
              <w:rPr>
                <w:rFonts w:ascii="Times New Roman" w:hAnsi="Times New Roman"/>
                <w:sz w:val="20"/>
              </w:rPr>
              <w:t>B20 true gap CAN-0341-CAN-0380 closed; full-text queue not yet auditable.</w:t>
            </w:r>
          </w:p>
        </w:tc>
      </w:tr>
      <w:tr>
        <w:tc>
          <w:tcPr>
            <w:tcW w:type="dxa" w:w="3120"/>
            <w:vAlign w:val="top"/>
          </w:tcPr>
          <w:p>
            <w:r>
              <w:rPr>
                <w:rFonts w:ascii="Times New Roman" w:hAnsi="Times New Roman" w:eastAsia="Times New Roman"/>
                <w:b w:val="0"/>
                <w:sz w:val="20"/>
              </w:rPr>
              <w:t>D: full-text eligibility</w:t>
            </w:r>
          </w:p>
        </w:tc>
        <w:tc>
          <w:tcPr>
            <w:tcW w:type="dxa" w:w="3120"/>
            <w:vAlign w:val="top"/>
          </w:tcPr>
          <w:p>
            <w:r>
              <w:rPr>
                <w:rFonts w:ascii="Times New Roman" w:hAnsi="Times New Roman" w:eastAsia="Times New Roman"/>
                <w:b w:val="0"/>
                <w:sz w:val="20"/>
              </w:rPr>
              <w:t>Not started</w:t>
            </w:r>
          </w:p>
        </w:tc>
        <w:tc>
          <w:tcPr>
            <w:tcW w:type="dxa" w:w="3120"/>
            <w:vAlign w:val="top"/>
          </w:tcPr>
          <w:p>
            <w:r>
              <w:rPr>
                <w:rFonts w:ascii="Times New Roman" w:hAnsi="Times New Roman"/>
                <w:sz w:val="20"/>
              </w:rP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20"/>
              </w:rPr>
              <w:t>E-G: extraction, RoB and certainty</w:t>
            </w:r>
          </w:p>
        </w:tc>
        <w:tc>
          <w:tcPr>
            <w:tcW w:type="dxa" w:w="3120"/>
            <w:vAlign w:val="top"/>
          </w:tcPr>
          <w:p>
            <w:r>
              <w:rPr>
                <w:rFonts w:ascii="Times New Roman" w:hAnsi="Times New Roman" w:eastAsia="Times New Roman"/>
                <w:b w:val="0"/>
                <w:sz w:val="20"/>
              </w:rPr>
              <w:t>Not started</w:t>
            </w:r>
          </w:p>
        </w:tc>
        <w:tc>
          <w:tcPr>
            <w:tcW w:type="dxa" w:w="3120"/>
            <w:vAlign w:val="top"/>
          </w:tcPr>
          <w:p>
            <w:r>
              <w:rPr>
                <w:rFonts w:ascii="Times New Roman" w:hAnsi="Times New Roman" w:eastAsia="Times New Roman"/>
                <w:b w:val="0"/>
                <w:sz w:val="20"/>
              </w:rPr>
              <w:t>Pending. The fields are prepared below; no study has been extracted or appraised.</w:t>
            </w:r>
          </w:p>
        </w:tc>
      </w:tr>
      <w:tr>
        <w:tc>
          <w:tcPr>
            <w:tcW w:type="dxa" w:w="3120"/>
            <w:vAlign w:val="top"/>
          </w:tcPr>
          <w:p>
            <w:r>
              <w:rPr>
                <w:rFonts w:ascii="Times New Roman" w:hAnsi="Times New Roman" w:eastAsia="Times New Roman"/>
                <w:b w:val="0"/>
                <w:sz w:val="20"/>
              </w:rPr>
              <w:t>H-J: synthesis, reporting and final audit</w:t>
            </w:r>
          </w:p>
        </w:tc>
        <w:tc>
          <w:tcPr>
            <w:tcW w:type="dxa" w:w="3120"/>
            <w:vAlign w:val="top"/>
          </w:tcPr>
          <w:p>
            <w:r>
              <w:rPr>
                <w:rFonts w:ascii="Times New Roman" w:hAnsi="Times New Roman" w:eastAsia="Times New Roman"/>
                <w:b w:val="0"/>
                <w:sz w:val="20"/>
              </w:rPr>
              <w:t>Not started</w:t>
            </w:r>
          </w:p>
        </w:tc>
        <w:tc>
          <w:tcPr>
            <w:tcW w:type="dxa" w:w="3120"/>
            <w:vAlign w:val="top"/>
          </w:tcPr>
          <w:p>
            <w:r>
              <w:rPr>
                <w:rFonts w:ascii="Times New Roman" w:hAnsi="Times New Roman" w:eastAsia="Times New Roman"/>
                <w:b w:val="0"/>
                <w:sz w:val="20"/>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20"/>
              </w:rPr>
              <w:t>Source/layer</w:t>
            </w:r>
          </w:p>
        </w:tc>
        <w:tc>
          <w:tcPr>
            <w:tcW w:type="dxa" w:w="3120"/>
            <w:vAlign w:val="center"/>
            <w:shd w:fill="D9EAD3"/>
          </w:tcPr>
          <w:p>
            <w:r>
              <w:rPr>
                <w:rFonts w:ascii="Times New Roman" w:hAnsi="Times New Roman" w:eastAsia="Times New Roman"/>
                <w:b/>
                <w:sz w:val="20"/>
              </w:rPr>
              <w:t>Dated verified count</w:t>
            </w:r>
          </w:p>
        </w:tc>
        <w:tc>
          <w:tcPr>
            <w:tcW w:type="dxa" w:w="3120"/>
            <w:vAlign w:val="center"/>
            <w:shd w:fill="D9EAD3"/>
          </w:tcPr>
          <w:p>
            <w:r>
              <w:rPr>
                <w:rFonts w:ascii="Times New Roman" w:hAnsi="Times New Roman" w:eastAsia="Times New Roman"/>
                <w:b/>
                <w:sz w:val="20"/>
              </w:rPr>
              <w:t>Record/export limitation</w:t>
            </w:r>
          </w:p>
        </w:tc>
      </w:tr>
      <w:tr>
        <w:tc>
          <w:tcPr>
            <w:tcW w:type="dxa" w:w="3120"/>
            <w:vAlign w:val="top"/>
          </w:tcPr>
          <w:p>
            <w:r>
              <w:rPr>
                <w:rFonts w:ascii="Times New Roman" w:hAnsi="Times New Roman" w:eastAsia="Times New Roman"/>
                <w:b w:val="0"/>
                <w:sz w:val="20"/>
              </w:rPr>
              <w:t>PubMed/MEDLINE v3</w:t>
            </w:r>
          </w:p>
        </w:tc>
        <w:tc>
          <w:tcPr>
            <w:tcW w:type="dxa" w:w="3120"/>
            <w:vAlign w:val="top"/>
          </w:tcPr>
          <w:p>
            <w:r>
              <w:rPr>
                <w:rFonts w:ascii="Times New Roman" w:hAnsi="Times New Roman" w:eastAsia="Times New Roman"/>
                <w:b w:val="0"/>
                <w:sz w:val="20"/>
              </w:rPr>
              <w:t>16 Sep 2026: 140 base; 53 molecular-facet</w:t>
            </w:r>
          </w:p>
        </w:tc>
        <w:tc>
          <w:tcPr>
            <w:tcW w:type="dxa" w:w="3120"/>
            <w:vAlign w:val="top"/>
          </w:tcPr>
          <w:p>
            <w:r>
              <w:rPr>
                <w:rFonts w:ascii="Times New Roman" w:hAnsi="Times New Roman" w:eastAsia="Times New Roman"/>
                <w:b w:val="0"/>
                <w:sz w:val="20"/>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20"/>
              </w:rPr>
              <w:t>Scopus</w:t>
            </w:r>
          </w:p>
        </w:tc>
        <w:tc>
          <w:tcPr>
            <w:tcW w:type="dxa" w:w="3120"/>
            <w:vAlign w:val="top"/>
          </w:tcPr>
          <w:p>
            <w:r>
              <w:rPr>
                <w:rFonts w:ascii="Times New Roman" w:hAnsi="Times New Roman" w:eastAsia="Times New Roman"/>
                <w:b w:val="0"/>
                <w:sz w:val="20"/>
              </w:rPr>
              <w:t>16 Sep 2026: 204</w:t>
            </w:r>
          </w:p>
        </w:tc>
        <w:tc>
          <w:tcPr>
            <w:tcW w:type="dxa" w:w="3120"/>
            <w:vAlign w:val="top"/>
          </w:tcPr>
          <w:p>
            <w:r>
              <w:rPr>
                <w:rFonts w:ascii="Times New Roman" w:hAnsi="Times New Roman" w:eastAsia="Times New Roman"/>
                <w:b w:val="0"/>
                <w:sz w:val="20"/>
              </w:rPr>
              <w:t>Manual export recorded. The v1 TITLE-ABS-KEY string is retained in the run sheet.</w:t>
            </w:r>
          </w:p>
        </w:tc>
      </w:tr>
      <w:tr>
        <w:tc>
          <w:tcPr>
            <w:tcW w:type="dxa" w:w="3120"/>
            <w:vAlign w:val="top"/>
          </w:tcPr>
          <w:p>
            <w:r>
              <w:rPr>
                <w:rFonts w:ascii="Times New Roman" w:hAnsi="Times New Roman" w:eastAsia="Times New Roman"/>
                <w:b w:val="0"/>
                <w:sz w:val="20"/>
              </w:rPr>
              <w:t>ScienceDirect</w:t>
            </w:r>
          </w:p>
        </w:tc>
        <w:tc>
          <w:tcPr>
            <w:tcW w:type="dxa" w:w="3120"/>
            <w:vAlign w:val="top"/>
          </w:tcPr>
          <w:p>
            <w:r>
              <w:rPr>
                <w:rFonts w:ascii="Times New Roman" w:hAnsi="Times New Roman" w:eastAsia="Times New Roman"/>
                <w:b w:val="0"/>
                <w:sz w:val="20"/>
              </w:rPr>
              <w:t>16 Sep 2026: 25 displayed/exported</w:t>
            </w:r>
          </w:p>
        </w:tc>
        <w:tc>
          <w:tcPr>
            <w:tcW w:type="dxa" w:w="3120"/>
            <w:vAlign w:val="top"/>
          </w:tcPr>
          <w:p>
            <w:r>
              <w:rPr>
                <w:rFonts w:ascii="Times New Roman" w:hAnsi="Times New Roman" w:eastAsia="Times New Roman"/>
                <w:b w:val="0"/>
                <w:sz w:val="20"/>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20"/>
              </w:rPr>
              <w:t>WoS Starter API</w:t>
            </w:r>
          </w:p>
        </w:tc>
        <w:tc>
          <w:tcPr>
            <w:tcW w:type="dxa" w:w="3120"/>
            <w:vAlign w:val="top"/>
          </w:tcPr>
          <w:p>
            <w:r>
              <w:rPr>
                <w:rFonts w:ascii="Times New Roman" w:hAnsi="Times New Roman" w:eastAsia="Times New Roman"/>
                <w:b w:val="0"/>
                <w:sz w:val="20"/>
              </w:rPr>
              <w:t>19 Sep 2026: 175 UIDs</w:t>
            </w:r>
          </w:p>
        </w:tc>
        <w:tc>
          <w:tcPr>
            <w:tcW w:type="dxa" w:w="3120"/>
            <w:vAlign w:val="top"/>
          </w:tcPr>
          <w:p>
            <w:r>
              <w:rPr>
                <w:rFonts w:ascii="Times New Roman" w:hAnsi="Times New Roman" w:eastAsia="Times New Roman"/>
                <w:b w:val="0"/>
                <w:sz w:val="20"/>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20"/>
              </w:rPr>
              <w:t>WoS Core Collection browser</w:t>
            </w:r>
          </w:p>
        </w:tc>
        <w:tc>
          <w:tcPr>
            <w:tcW w:type="dxa" w:w="3120"/>
            <w:vAlign w:val="top"/>
          </w:tcPr>
          <w:p>
            <w:r>
              <w:rPr>
                <w:rFonts w:ascii="Times New Roman" w:hAnsi="Times New Roman" w:eastAsia="Times New Roman"/>
                <w:b w:val="0"/>
                <w:sz w:val="20"/>
              </w:rPr>
              <w:t>20 Sep 2026: 206 base; 77 molecular; 154 epidemiology; 70 wild-bird/host</w:t>
            </w:r>
          </w:p>
        </w:tc>
        <w:tc>
          <w:tcPr>
            <w:tcW w:type="dxa" w:w="3120"/>
            <w:vAlign w:val="top"/>
          </w:tcPr>
          <w:p>
            <w:r>
              <w:rPr>
                <w:rFonts w:ascii="Times New Roman" w:hAnsi="Times New Roman" w:eastAsia="Times New Roman"/>
                <w:b w:val="0"/>
                <w:sz w:val="20"/>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20"/>
              </w:rPr>
              <w:t>Google Scholar supplement</w:t>
            </w:r>
          </w:p>
        </w:tc>
        <w:tc>
          <w:tcPr>
            <w:tcW w:type="dxa" w:w="3120"/>
            <w:vAlign w:val="top"/>
          </w:tcPr>
          <w:p>
            <w:r>
              <w:rPr>
                <w:rFonts w:ascii="Times New Roman" w:hAnsi="Times New Roman" w:eastAsia="Times New Roman"/>
                <w:b w:val="0"/>
                <w:sz w:val="20"/>
              </w:rPr>
              <w:t>17 Sep 2026: 140 retrieved; 99 cross-query unique</w:t>
            </w:r>
          </w:p>
        </w:tc>
        <w:tc>
          <w:tcPr>
            <w:tcW w:type="dxa" w:w="3120"/>
            <w:vAlign w:val="top"/>
          </w:tcPr>
          <w:p>
            <w:r>
              <w:rPr>
                <w:rFonts w:ascii="Times New Roman" w:hAnsi="Times New Roman" w:eastAsia="Times New Roman"/>
                <w:b w:val="0"/>
                <w:sz w:val="20"/>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20"/>
              </w:rPr>
              <w:t>AJOL on-site</w:t>
            </w:r>
          </w:p>
        </w:tc>
        <w:tc>
          <w:tcPr>
            <w:tcW w:type="dxa" w:w="3120"/>
            <w:vAlign w:val="top"/>
          </w:tcPr>
          <w:p>
            <w:r>
              <w:rPr>
                <w:rFonts w:ascii="Times New Roman" w:hAnsi="Times New Roman" w:eastAsia="Times New Roman"/>
                <w:b w:val="0"/>
                <w:sz w:val="20"/>
              </w:rPr>
              <w:t>20 Sep 2026: 144 query rows; 79 unique pages; 73 in-window</w:t>
            </w:r>
          </w:p>
        </w:tc>
        <w:tc>
          <w:tcPr>
            <w:tcW w:type="dxa" w:w="3120"/>
            <w:vAlign w:val="top"/>
          </w:tcPr>
          <w:p>
            <w:r>
              <w:rPr>
                <w:rFonts w:ascii="Times New Roman" w:hAnsi="Times New Roman" w:eastAsia="Times New Roman"/>
                <w:b w:val="0"/>
                <w:sz w:val="20"/>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20"/>
              </w:rPr>
              <w:t>OpenAlex/Crossref supplements</w:t>
            </w:r>
          </w:p>
        </w:tc>
        <w:tc>
          <w:tcPr>
            <w:tcW w:type="dxa" w:w="3120"/>
            <w:vAlign w:val="top"/>
          </w:tcPr>
          <w:p>
            <w:r>
              <w:rPr>
                <w:rFonts w:ascii="Times New Roman" w:hAnsi="Times New Roman" w:eastAsia="Times New Roman"/>
                <w:b w:val="0"/>
                <w:sz w:val="20"/>
              </w:rPr>
              <w:t>16 Sep 2026: 1,000 exported from each raw supplement</w:t>
            </w:r>
          </w:p>
        </w:tc>
        <w:tc>
          <w:tcPr>
            <w:tcW w:type="dxa" w:w="3120"/>
            <w:vAlign w:val="top"/>
          </w:tcPr>
          <w:p>
            <w:r>
              <w:rPr>
                <w:rFonts w:ascii="Times New Roman" w:hAnsi="Times New Roman" w:eastAsia="Times New Roman"/>
                <w:b w:val="0"/>
                <w:sz w:val="20"/>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20"/>
              </w:rPr>
              <w:t>Adjudicated title/metadata screening outcome</w:t>
            </w:r>
          </w:p>
        </w:tc>
        <w:tc>
          <w:tcPr>
            <w:tcW w:type="dxa" w:w="3120"/>
            <w:vAlign w:val="center"/>
            <w:shd w:fill="D9EAD3"/>
          </w:tcPr>
          <w:p>
            <w:r>
              <w:rPr>
                <w:rFonts w:ascii="Times New Roman" w:hAnsi="Times New Roman" w:eastAsia="Times New Roman"/>
                <w:b/>
                <w:sz w:val="20"/>
              </w:rPr>
              <w:t>Count</w:t>
            </w:r>
          </w:p>
        </w:tc>
        <w:tc>
          <w:tcPr>
            <w:tcW w:type="dxa" w:w="3120"/>
            <w:vAlign w:val="center"/>
            <w:shd w:fill="D9EAD3"/>
          </w:tcPr>
          <w:p>
            <w:r>
              <w:rPr>
                <w:rFonts w:ascii="Times New Roman" w:hAnsi="Times New Roman" w:eastAsia="Times New Roman"/>
                <w:b/>
                <w:sz w:val="20"/>
              </w:rPr>
              <w:t>Canonical IDs / decision-reason-code status</w:t>
            </w:r>
          </w:p>
        </w:tc>
      </w:tr>
      <w:tr>
        <w:tc>
          <w:tcPr>
            <w:tcW w:type="dxa" w:w="3120"/>
            <w:vAlign w:val="top"/>
          </w:tcPr>
          <w:p>
            <w:r>
              <w:rPr>
                <w:rFonts w:ascii="Times New Roman" w:hAnsi="Times New Roman" w:eastAsia="Times New Roman"/>
                <w:b w:val="0"/>
                <w:sz w:val="20"/>
              </w:rPr>
              <w:t>Clear exclusions</w:t>
            </w:r>
          </w:p>
        </w:tc>
        <w:tc>
          <w:tcPr>
            <w:tcW w:type="dxa" w:w="3120"/>
            <w:vAlign w:val="top"/>
          </w:tcPr>
          <w:p>
            <w:r>
              <w:rPr>
                <w:rFonts w:ascii="Times New Roman" w:hAnsi="Times New Roman" w:eastAsia="Times New Roman"/>
                <w:b w:val="0"/>
                <w:sz w:val="20"/>
              </w:rPr>
              <w:t>25</w:t>
            </w:r>
          </w:p>
        </w:tc>
        <w:tc>
          <w:tcPr>
            <w:tcW w:type="dxa" w:w="3120"/>
            <w:vAlign w:val="top"/>
          </w:tcPr>
          <w:p>
            <w:r>
              <w:rPr>
                <w:rFonts w:ascii="Times New Roman" w:hAnsi="Times New Roman" w:eastAsia="Times New Roman"/>
                <w:b w:val="0"/>
                <w:sz w:val="20"/>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20"/>
              </w:rPr>
              <w:t>Retained provisionally for full text</w:t>
            </w:r>
          </w:p>
        </w:tc>
        <w:tc>
          <w:tcPr>
            <w:tcW w:type="dxa" w:w="3120"/>
            <w:vAlign w:val="top"/>
          </w:tcPr>
          <w:p>
            <w:r>
              <w:rPr>
                <w:rFonts w:ascii="Times New Roman" w:hAnsi="Times New Roman" w:eastAsia="Times New Roman"/>
                <w:b w:val="0"/>
                <w:sz w:val="20"/>
              </w:rPr>
              <w:t>15</w:t>
            </w:r>
          </w:p>
        </w:tc>
        <w:tc>
          <w:tcPr>
            <w:tcW w:type="dxa" w:w="3120"/>
            <w:vAlign w:val="top"/>
          </w:tcPr>
          <w:p>
            <w:r>
              <w:rPr>
                <w:rFonts w:ascii="Times New Roman" w:hAnsi="Times New Roman" w:eastAsia="Times New Roman"/>
                <w:b w:val="0"/>
                <w:sz w:val="20"/>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20"/>
              </w:rPr>
              <w:t>Clear title-level retains</w:t>
            </w:r>
          </w:p>
        </w:tc>
        <w:tc>
          <w:tcPr>
            <w:tcW w:type="dxa" w:w="3120"/>
            <w:vAlign w:val="top"/>
          </w:tcPr>
          <w:p>
            <w:r>
              <w:rPr>
                <w:rFonts w:ascii="Times New Roman" w:hAnsi="Times New Roman" w:eastAsia="Times New Roman"/>
                <w:b w:val="0"/>
                <w:sz w:val="20"/>
              </w:rPr>
              <w:t>11</w:t>
            </w:r>
          </w:p>
        </w:tc>
        <w:tc>
          <w:tcPr>
            <w:tcW w:type="dxa" w:w="3120"/>
            <w:vAlign w:val="top"/>
          </w:tcPr>
          <w:p>
            <w:r>
              <w:rPr>
                <w:rFonts w:ascii="Times New Roman" w:hAnsi="Times New Roman" w:eastAsia="Times New Roman"/>
                <w:b w:val="0"/>
                <w:sz w:val="20"/>
              </w:rPr>
              <w:t>Eligible-looking title/metadata; all remain provisional until full-text eligibility assessment.</w:t>
            </w:r>
          </w:p>
        </w:tc>
      </w:tr>
      <w:tr>
        <w:tc>
          <w:tcPr>
            <w:tcW w:type="dxa" w:w="3120"/>
            <w:vAlign w:val="top"/>
          </w:tcPr>
          <w:p>
            <w:r>
              <w:rPr>
                <w:rFonts w:ascii="Times New Roman" w:hAnsi="Times New Roman" w:eastAsia="Times New Roman"/>
                <w:b w:val="0"/>
                <w:sz w:val="20"/>
              </w:rPr>
              <w:t>Retained under uncertainty</w:t>
            </w:r>
          </w:p>
        </w:tc>
        <w:tc>
          <w:tcPr>
            <w:tcW w:type="dxa" w:w="3120"/>
            <w:vAlign w:val="top"/>
          </w:tcPr>
          <w:p>
            <w:r>
              <w:rPr>
                <w:rFonts w:ascii="Times New Roman" w:hAnsi="Times New Roman" w:eastAsia="Times New Roman"/>
                <w:b w:val="0"/>
                <w:sz w:val="20"/>
              </w:rPr>
              <w:t>4</w:t>
            </w:r>
          </w:p>
        </w:tc>
        <w:tc>
          <w:tcPr>
            <w:tcW w:type="dxa" w:w="3120"/>
            <w:vAlign w:val="top"/>
          </w:tcPr>
          <w:p>
            <w:r>
              <w:rPr>
                <w:rFonts w:ascii="Times New Roman" w:hAnsi="Times New Roman" w:eastAsia="Times New Roman"/>
                <w:b w:val="0"/>
                <w:sz w:val="20"/>
              </w:rPr>
              <w:t>Conservative rule applied; includes adjudicated CAN-0031 and CAN-0049. All remain provisional until full-text eligibility assessment.</w:t>
            </w:r>
          </w:p>
        </w:tc>
      </w:tr>
      <w:tr>
        <w:tc>
          <w:tcPr>
            <w:tcW w:type="dxa" w:w="3120"/>
          </w:tcPr>
          <w:p>
            <w:r>
              <w:rPr>
                <w:rFonts w:ascii="Times New Roman" w:hAnsi="Times New Roman"/>
                <w:sz w:val="20"/>
              </w:rPr>
              <w:t>Batch R1-B1: Include-for-full-text</w:t>
            </w:r>
          </w:p>
        </w:tc>
        <w:tc>
          <w:tcPr>
            <w:tcW w:type="dxa" w:w="3120"/>
          </w:tcPr>
          <w:p>
            <w:r>
              <w:rPr>
                <w:rFonts w:ascii="Times New Roman" w:hAnsi="Times New Roman"/>
                <w:sz w:val="20"/>
              </w:rPr>
              <w:t>17</w:t>
            </w:r>
          </w:p>
        </w:tc>
        <w:tc>
          <w:tcPr>
            <w:tcW w:type="dxa" w:w="3120"/>
          </w:tcPr>
          <w:p>
            <w:r>
              <w:rPr>
                <w:rFonts w:ascii="Times New Roman" w:hAnsi="Times New Roman"/>
                <w:sz w:val="20"/>
              </w:rPr>
              <w:t>Decision/reason-code category: Include. Provisional full-text candidates; not final included studies.</w:t>
            </w:r>
          </w:p>
        </w:tc>
      </w:tr>
      <w:tr>
        <w:tc>
          <w:tcPr>
            <w:tcW w:type="dxa" w:w="3120"/>
          </w:tcPr>
          <w:p>
            <w:r>
              <w:rPr>
                <w:rFonts w:ascii="Times New Roman" w:hAnsi="Times New Roman"/>
                <w:sz w:val="20"/>
              </w:rPr>
              <w:t>Batch R1-B1: Unsure/retain-for-full-text</w:t>
            </w:r>
          </w:p>
        </w:tc>
        <w:tc>
          <w:tcPr>
            <w:tcW w:type="dxa" w:w="3120"/>
          </w:tcPr>
          <w:p>
            <w:r>
              <w:rPr>
                <w:rFonts w:ascii="Times New Roman" w:hAnsi="Times New Roman"/>
                <w:sz w:val="20"/>
              </w:rPr>
              <w:t>10</w:t>
            </w:r>
          </w:p>
        </w:tc>
        <w:tc>
          <w:tcPr>
            <w:tcW w:type="dxa" w:w="3120"/>
          </w:tcPr>
          <w:p>
            <w:r>
              <w:rPr>
                <w:rFonts w:ascii="Times New Roman" w:hAnsi="Times New Roman"/>
                <w:sz w:val="20"/>
              </w:rPr>
              <w:t>Decision/reason-code category: Unsure. Retained under the conservative uncertainty rule; not final included studies.</w:t>
            </w:r>
          </w:p>
        </w:tc>
      </w:tr>
      <w:tr>
        <w:tc>
          <w:tcPr>
            <w:tcW w:type="dxa" w:w="3120"/>
          </w:tcPr>
          <w:p>
            <w:r>
              <w:rPr>
                <w:rFonts w:ascii="Times New Roman" w:hAnsi="Times New Roman"/>
                <w:sz w:val="20"/>
              </w:rPr>
              <w:t>Batch R1-B1: Exclude</w:t>
            </w:r>
          </w:p>
        </w:tc>
        <w:tc>
          <w:tcPr>
            <w:tcW w:type="dxa" w:w="3120"/>
          </w:tcPr>
          <w:p>
            <w:r>
              <w:rPr>
                <w:rFonts w:ascii="Times New Roman" w:hAnsi="Times New Roman"/>
                <w:sz w:val="20"/>
              </w:rPr>
              <w:t>73</w:t>
            </w:r>
          </w:p>
        </w:tc>
        <w:tc>
          <w:tcPr>
            <w:tcW w:type="dxa" w:w="3120"/>
          </w:tcPr>
          <w:p>
            <w:r>
              <w:rPr>
                <w:rFonts w:ascii="Times New Roman" w:hAnsi="Times New Roman"/>
                <w:sz w:val="20"/>
              </w:rPr>
              <w:t>Decision/reason-code category: Exclude. Clear title/metadata exclusions.</w:t>
            </w:r>
          </w:p>
        </w:tc>
      </w:tr>
      <w:tr>
        <w:tc>
          <w:tcPr>
            <w:tcW w:type="dxa" w:w="3120"/>
          </w:tcPr>
          <w:p>
            <w:r>
              <w:rPr>
                <w:rFonts w:ascii="Times New Roman" w:hAnsi="Times New Roman"/>
                <w:sz w:val="20"/>
              </w:rPr>
              <w:t>Batch R1-B1: exact R1/R2 agreement</w:t>
            </w:r>
          </w:p>
        </w:tc>
        <w:tc>
          <w:tcPr>
            <w:tcW w:type="dxa" w:w="3120"/>
          </w:tcPr>
          <w:p>
            <w:r>
              <w:rPr>
                <w:rFonts w:ascii="Times New Roman" w:hAnsi="Times New Roman"/>
                <w:sz w:val="20"/>
              </w:rPr>
              <w:t>100/100</w:t>
            </w:r>
          </w:p>
        </w:tc>
        <w:tc>
          <w:tcPr>
            <w:tcW w:type="dxa" w:w="3120"/>
          </w:tcPr>
          <w:p>
            <w:r>
              <w:rPr>
                <w:rFonts w:ascii="Times New Roman" w:hAnsi="Times New Roman"/>
                <w:sz w:val="20"/>
              </w:rPr>
              <w:t>First 100 non-pilot canonical records by canonical_id order, CAN-0015 through CAN-0134 with pilot IDs omitted. No adjudication disagreements.</w:t>
            </w:r>
          </w:p>
        </w:tc>
      </w:tr>
      <w:tr>
        <w:tc>
          <w:tcPr>
            <w:tcW w:type="dxa" w:w="3120"/>
          </w:tcPr>
          <w:p>
            <w:r>
              <w:rPr>
                <w:rFonts w:ascii="Times New Roman" w:hAnsi="Times New Roman"/>
                <w:sz w:val="20"/>
              </w:rPr>
              <w:t>Batch R1-B1: retained provisionally for full text</w:t>
            </w:r>
          </w:p>
        </w:tc>
        <w:tc>
          <w:tcPr>
            <w:tcW w:type="dxa" w:w="3120"/>
          </w:tcPr>
          <w:p>
            <w:r>
              <w:rPr>
                <w:rFonts w:ascii="Times New Roman" w:hAnsi="Times New Roman"/>
                <w:sz w:val="20"/>
              </w:rPr>
              <w:t>27</w:t>
            </w:r>
          </w:p>
        </w:tc>
        <w:tc>
          <w:tcPr>
            <w:tcW w:type="dxa" w:w="3120"/>
          </w:tcPr>
          <w:p>
            <w:r>
              <w:rPr>
                <w:rFonts w:ascii="Times New Roman" w:hAnsi="Times New Roman"/>
                <w:sz w:val="20"/>
              </w:rP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rPr>
                <w:rFonts w:ascii="Times New Roman" w:hAnsi="Times New Roman"/>
                <w:sz w:val="20"/>
              </w:rPr>
              <w:t>Cumulative through pilot + Batch R1-B1: clear exclusions</w:t>
            </w:r>
          </w:p>
        </w:tc>
        <w:tc>
          <w:tcPr>
            <w:tcW w:type="dxa" w:w="3120"/>
          </w:tcPr>
          <w:p>
            <w:r>
              <w:rPr>
                <w:rFonts w:ascii="Times New Roman" w:hAnsi="Times New Roman"/>
                <w:sz w:val="20"/>
              </w:rPr>
              <w:t>98</w:t>
            </w:r>
          </w:p>
        </w:tc>
        <w:tc>
          <w:tcPr>
            <w:tcW w:type="dxa" w:w="3120"/>
          </w:tcPr>
          <w:p>
            <w:r>
              <w:rPr>
                <w:rFonts w:ascii="Times New Roman" w:hAnsi="Times New Roman"/>
                <w:sz w:val="20"/>
              </w:rPr>
              <w:t>Title/metadata only; interim milestone, not a final PRISMA exclusion count.</w:t>
            </w:r>
          </w:p>
        </w:tc>
      </w:tr>
      <w:tr>
        <w:tc>
          <w:tcPr>
            <w:tcW w:type="dxa" w:w="3120"/>
          </w:tcPr>
          <w:p>
            <w:r>
              <w:rPr>
                <w:rFonts w:ascii="Times New Roman" w:hAnsi="Times New Roman"/>
                <w:sz w:val="20"/>
              </w:rPr>
              <w:t>Cumulative through pilot + Batch R1-B1: provisional full-text candidates</w:t>
            </w:r>
          </w:p>
        </w:tc>
        <w:tc>
          <w:tcPr>
            <w:tcW w:type="dxa" w:w="3120"/>
          </w:tcPr>
          <w:p>
            <w:r>
              <w:rPr>
                <w:rFonts w:ascii="Times New Roman" w:hAnsi="Times New Roman"/>
                <w:sz w:val="20"/>
              </w:rPr>
              <w:t>42</w:t>
            </w:r>
          </w:p>
        </w:tc>
        <w:tc>
          <w:tcPr>
            <w:tcW w:type="dxa" w:w="3120"/>
          </w:tcPr>
          <w:p>
            <w:r>
              <w:rPr>
                <w:rFonts w:ascii="Times New Roman" w:hAnsi="Times New Roman"/>
                <w:sz w:val="20"/>
              </w:rPr>
              <w:t>All retained records remained provisional pending full-text assessment, extraction, risk-of-bias appraisal, certainty assessment and synthesis.</w:t>
            </w:r>
          </w:p>
        </w:tc>
      </w:tr>
      <w:tr>
        <w:tc>
          <w:tcPr>
            <w:tcW w:type="dxa" w:w="3120"/>
          </w:tcPr>
          <w:p>
            <w:r>
              <w:rPr>
                <w:rFonts w:ascii="Times New Roman" w:hAnsi="Times New Roman"/>
                <w:sz w:val="20"/>
              </w:rPr>
              <w:t>Batch B2: scope</w:t>
            </w:r>
          </w:p>
        </w:tc>
        <w:tc>
          <w:tcPr>
            <w:tcW w:type="dxa" w:w="3120"/>
          </w:tcPr>
          <w:p>
            <w:r>
              <w:rPr>
                <w:rFonts w:ascii="Times New Roman" w:hAnsi="Times New Roman"/>
                <w:sz w:val="20"/>
              </w:rPr>
              <w:t>100</w:t>
            </w:r>
          </w:p>
        </w:tc>
        <w:tc>
          <w:tcPr>
            <w:tcW w:type="dxa" w:w="3120"/>
          </w:tcPr>
          <w:p>
            <w:r>
              <w:rPr>
                <w:rFonts w:ascii="Times New Roman" w:hAnsi="Times New Roman"/>
                <w:sz w:val="20"/>
              </w:rPr>
              <w:t>Next 100 non-pilot canonical records after B1: CAN-0135-CAN-0240, with pilot IDs omitted. Title/metadata screening only.</w:t>
            </w:r>
          </w:p>
        </w:tc>
      </w:tr>
      <w:tr>
        <w:tc>
          <w:tcPr>
            <w:tcW w:type="dxa" w:w="3120"/>
          </w:tcPr>
          <w:p>
            <w:r>
              <w:rPr>
                <w:rFonts w:ascii="Times New Roman" w:hAnsi="Times New Roman"/>
                <w:sz w:val="20"/>
              </w:rPr>
              <w:t>Batch B2: R1 disposition</w:t>
            </w:r>
          </w:p>
        </w:tc>
        <w:tc>
          <w:tcPr>
            <w:tcW w:type="dxa" w:w="3120"/>
          </w:tcPr>
          <w:p>
            <w:r>
              <w:rPr>
                <w:rFonts w:ascii="Times New Roman" w:hAnsi="Times New Roman"/>
                <w:sz w:val="20"/>
              </w:rPr>
              <w:t>20 retained; 80 excluded</w:t>
            </w:r>
          </w:p>
        </w:tc>
        <w:tc>
          <w:tcPr>
            <w:tcW w:type="dxa" w:w="3120"/>
          </w:tcPr>
          <w:p>
            <w:r>
              <w:rPr>
                <w:rFonts w:ascii="Times New Roman" w:hAnsi="Times New Roman"/>
                <w:sz w:val="20"/>
              </w:rPr>
              <w:t>10 Include-for-full-text; 10 Unsure/retain-for-full-text. Independent R1 title/metadata screen.</w:t>
            </w:r>
          </w:p>
        </w:tc>
      </w:tr>
      <w:tr>
        <w:tc>
          <w:tcPr>
            <w:tcW w:type="dxa" w:w="3120"/>
          </w:tcPr>
          <w:p>
            <w:r>
              <w:rPr>
                <w:rFonts w:ascii="Times New Roman" w:hAnsi="Times New Roman"/>
                <w:sz w:val="20"/>
              </w:rPr>
              <w:t>Batch B2: R2 disposition</w:t>
            </w:r>
          </w:p>
        </w:tc>
        <w:tc>
          <w:tcPr>
            <w:tcW w:type="dxa" w:w="3120"/>
          </w:tcPr>
          <w:p>
            <w:r>
              <w:rPr>
                <w:rFonts w:ascii="Times New Roman" w:hAnsi="Times New Roman"/>
                <w:sz w:val="20"/>
              </w:rPr>
              <w:t>17 retained; 83 excluded</w:t>
            </w:r>
          </w:p>
        </w:tc>
        <w:tc>
          <w:tcPr>
            <w:tcW w:type="dxa" w:w="3120"/>
          </w:tcPr>
          <w:p>
            <w:r>
              <w:rPr>
                <w:rFonts w:ascii="Times New Roman" w:hAnsi="Times New Roman"/>
                <w:sz w:val="20"/>
              </w:rPr>
              <w:t>Aggregate R2 disposition. Independent R2 title/metadata screen.</w:t>
            </w:r>
          </w:p>
        </w:tc>
      </w:tr>
      <w:tr>
        <w:tc>
          <w:tcPr>
            <w:tcW w:type="dxa" w:w="3120"/>
          </w:tcPr>
          <w:p>
            <w:r>
              <w:rPr>
                <w:rFonts w:ascii="Times New Roman" w:hAnsi="Times New Roman"/>
                <w:sz w:val="20"/>
              </w:rPr>
              <w:t>Batch B2: disagreements and adjudication</w:t>
            </w:r>
          </w:p>
        </w:tc>
        <w:tc>
          <w:tcPr>
            <w:tcW w:type="dxa" w:w="3120"/>
          </w:tcPr>
          <w:p>
            <w:r>
              <w:rPr>
                <w:rFonts w:ascii="Times New Roman" w:hAnsi="Times New Roman"/>
                <w:sz w:val="20"/>
              </w:rPr>
              <w:t>8</w:t>
            </w:r>
          </w:p>
        </w:tc>
        <w:tc>
          <w:tcPr>
            <w:tcW w:type="dxa" w:w="3120"/>
          </w:tcPr>
          <w:p>
            <w:r>
              <w:rPr>
                <w:rFonts w:ascii="Times New Roman" w:hAnsi="Times New Roman"/>
                <w:sz w:val="20"/>
              </w:rPr>
              <w:t>CAN-0151, CAN-0154, CAN-0156, CAN-0189, CAN-0210, CAN-0215, CAN-0232 and CAN-0234. Apply the frozen criteria and conservative uncertainty rule; no final study inclusion is inferred.</w:t>
            </w:r>
          </w:p>
        </w:tc>
      </w:tr>
      <w:tr>
        <w:tc>
          <w:tcPr>
            <w:tcW w:type="dxa" w:w="3120"/>
          </w:tcPr>
          <w:p>
            <w:r>
              <w:rPr>
                <w:rFonts w:ascii="Times New Roman" w:hAnsi="Times New Roman"/>
                <w:sz w:val="20"/>
              </w:rPr>
              <w:t>Batch B2: final retained provisionally for full text</w:t>
            </w:r>
          </w:p>
        </w:tc>
        <w:tc>
          <w:tcPr>
            <w:tcW w:type="dxa" w:w="3120"/>
          </w:tcPr>
          <w:p>
            <w:r>
              <w:rPr>
                <w:rFonts w:ascii="Times New Roman" w:hAnsi="Times New Roman"/>
                <w:sz w:val="20"/>
              </w:rPr>
              <w:t>17</w:t>
            </w:r>
          </w:p>
        </w:tc>
        <w:tc>
          <w:tcPr>
            <w:tcW w:type="dxa" w:w="3120"/>
          </w:tcPr>
          <w:p>
            <w:r>
              <w:rPr>
                <w:rFonts w:ascii="Times New Roman" w:hAnsi="Times New Roman"/>
                <w:sz w:val="20"/>
              </w:rPr>
              <w:t>The 14 unchanged R1 retained IDs plus CAN-0189, CAN-0215 and CAN-0232. All 17 are provisional full-text candidates, not final included studies.</w:t>
            </w:r>
          </w:p>
        </w:tc>
      </w:tr>
      <w:tr>
        <w:tc>
          <w:tcPr>
            <w:tcW w:type="dxa" w:w="3120"/>
          </w:tcPr>
          <w:p>
            <w:r>
              <w:rPr>
                <w:rFonts w:ascii="Times New Roman" w:hAnsi="Times New Roman"/>
                <w:sz w:val="20"/>
              </w:rPr>
              <w:t>Batch B2: final exclusions</w:t>
            </w:r>
          </w:p>
        </w:tc>
        <w:tc>
          <w:tcPr>
            <w:tcW w:type="dxa" w:w="3120"/>
          </w:tcPr>
          <w:p>
            <w:r>
              <w:rPr>
                <w:rFonts w:ascii="Times New Roman" w:hAnsi="Times New Roman"/>
                <w:sz w:val="20"/>
              </w:rPr>
              <w:t>83</w:t>
            </w:r>
          </w:p>
        </w:tc>
        <w:tc>
          <w:tcPr>
            <w:tcW w:type="dxa" w:w="3120"/>
          </w:tcPr>
          <w:p>
            <w:r>
              <w:rPr>
                <w:rFonts w:ascii="Times New Roman" w:hAnsi="Times New Roman"/>
                <w:sz w:val="20"/>
              </w:rPr>
              <w:t>Includes clear global/non-Nigeria CAN-0151, CAN-0154 and CAN-0156, and R2-only CAN-0210 and CAN-0234. CAN-0210 and CAN-0234 lacked title-level evidence of eligible avian-AIV empirical data under the frozen criteria.</w:t>
            </w:r>
          </w:p>
        </w:tc>
      </w:tr>
      <w:tr>
        <w:tc>
          <w:tcPr>
            <w:tcW w:type="dxa" w:w="3120"/>
          </w:tcPr>
          <w:p>
            <w:r>
              <w:rPr>
                <w:rFonts w:ascii="Times New Roman" w:hAnsi="Times New Roman"/>
                <w:sz w:val="20"/>
              </w:rPr>
              <w:t>Cumulative pilot + Batch R1-B1 + Batch B2: clear exclusions</w:t>
            </w:r>
          </w:p>
        </w:tc>
        <w:tc>
          <w:tcPr>
            <w:tcW w:type="dxa" w:w="3120"/>
          </w:tcPr>
          <w:p>
            <w:r>
              <w:rPr>
                <w:rFonts w:ascii="Times New Roman" w:hAnsi="Times New Roman"/>
                <w:sz w:val="20"/>
              </w:rPr>
              <w:t>181</w:t>
            </w:r>
          </w:p>
        </w:tc>
        <w:tc>
          <w:tcPr>
            <w:tcW w:type="dxa" w:w="3120"/>
          </w:tcPr>
          <w:p>
            <w:r>
              <w:rPr>
                <w:rFonts w:ascii="Times New Roman" w:hAnsi="Times New Roman"/>
                <w:sz w:val="20"/>
              </w:rPr>
              <w:t>Title/metadata screening only; not a final PRISMA exclusion count.</w:t>
            </w:r>
          </w:p>
        </w:tc>
      </w:tr>
      <w:tr>
        <w:tc>
          <w:tcPr>
            <w:tcW w:type="dxa" w:w="3120"/>
          </w:tcPr>
          <w:p>
            <w:r>
              <w:rPr>
                <w:rFonts w:ascii="Times New Roman" w:hAnsi="Times New Roman"/>
                <w:sz w:val="20"/>
              </w:rPr>
              <w:t>Cumulative pilot + Batch R1-B1 + Batch B2: provisional full-text candidates</w:t>
            </w:r>
          </w:p>
        </w:tc>
        <w:tc>
          <w:tcPr>
            <w:tcW w:type="dxa" w:w="3120"/>
          </w:tcPr>
          <w:p>
            <w:r>
              <w:rPr>
                <w:rFonts w:ascii="Times New Roman" w:hAnsi="Times New Roman"/>
                <w:sz w:val="20"/>
              </w:rPr>
              <w:t>59</w:t>
            </w:r>
          </w:p>
        </w:tc>
        <w:tc>
          <w:tcPr>
            <w:tcW w:type="dxa" w:w="3120"/>
          </w:tcPr>
          <w:p>
            <w:r>
              <w:rPr>
                <w:rFonts w:ascii="Times New Roman" w:hAnsi="Times New Roman"/>
                <w:sz w:val="20"/>
              </w:rPr>
              <w:t>All retained records await full-text eligibility assessment. Not final included studies; extraction, RoB, certainty, final PRISMA and SWiM synthesis remain pending.</w:t>
            </w:r>
          </w:p>
        </w:tc>
      </w:tr>
      <w:tr>
        <w:tc>
          <w:tcPr>
            <w:tcW w:type="dxa" w:w="3120"/>
          </w:tcPr>
          <w:tcPr/>
          <w:p>
            <w:r>
              <w:rPr>
                <w:rFonts w:ascii="Times New Roman" w:hAnsi="Times New Roman"/>
                <w:sz w:val="20"/>
              </w:rPr>
              <w:t>Batch B3: scope and independent dispositions</w:t>
            </w:r>
          </w:p>
        </w:tc>
        <w:tc>
          <w:tcPr>
            <w:tcW w:type="dxa" w:w="3120"/>
          </w:tcPr>
          <w:tcPr/>
          <w:p>
            <w:r>
              <w:rPr>
                <w:rFonts w:ascii="Times New Roman" w:hAnsi="Times New Roman"/>
                <w:sz w:val="20"/>
              </w:rPr>
              <w:t>100</w:t>
            </w:r>
          </w:p>
        </w:tc>
        <w:tc>
          <w:tcPr>
            <w:tcW w:type="dxa" w:w="3120"/>
          </w:tcPr>
          <w:tcPr/>
          <w:p>
            <w:r>
              <w:rPr>
                <w:rFonts w:ascii="Times New Roman" w:hAnsi="Times New Roman"/>
                <w:sz w:val="20"/>
              </w:rPr>
              <w:t>CAN-0241-CAN-0340. R1: 7 Include-for-full-text + 5 Unsure/retain-for-full-text; 88 Exclude. R2: 7 Retain + 1 Unsure; 92 Exclude.</w:t>
            </w:r>
          </w:p>
        </w:tc>
      </w:tr>
      <w:tr>
        <w:tc>
          <w:tcPr>
            <w:tcW w:type="dxa" w:w="3120"/>
          </w:tcPr>
          <w:tcPr/>
          <w:p>
            <w:r>
              <w:rPr>
                <w:rFonts w:ascii="Times New Roman" w:hAnsi="Times New Roman"/>
                <w:sz w:val="20"/>
              </w:rPr>
              <w:t>Batch B3: cross-reviewer uncertainty/disagreement and adjudication</w:t>
            </w:r>
          </w:p>
        </w:tc>
        <w:tc>
          <w:tcPr>
            <w:tcW w:type="dxa" w:w="3120"/>
          </w:tcPr>
          <w:tcPr/>
          <w:p>
            <w:r>
              <w:rPr>
                <w:rFonts w:ascii="Times New Roman" w:hAnsi="Times New Roman"/>
                <w:sz w:val="20"/>
              </w:rPr>
              <w:t>6</w:t>
            </w:r>
          </w:p>
        </w:tc>
        <w:tc>
          <w:tcPr>
            <w:tcW w:type="dxa" w:w="3120"/>
          </w:tcPr>
          <w:tcPr/>
          <w:p>
            <w:r>
              <w:rPr>
                <w:rFonts w:ascii="Times New Roman" w:hAnsi="Times New Roman"/>
                <w:sz w:val="20"/>
              </w:rPr>
              <w:t>CAN-0245, CAN-0258, CAN-0266, CAN-0282, CAN-0317 and CAN-0340. Conservative rule: retain all six for full-text review; no final study inclusion is inferred.</w:t>
            </w:r>
          </w:p>
        </w:tc>
      </w:tr>
      <w:tr>
        <w:tc>
          <w:tcPr>
            <w:tcW w:type="dxa" w:w="3120"/>
          </w:tcPr>
          <w:tcPr/>
          <w:p>
            <w:r>
              <w:rPr>
                <w:rFonts w:ascii="Times New Roman" w:hAnsi="Times New Roman"/>
                <w:sz w:val="20"/>
              </w:rPr>
              <w:t>Batch B3: final disposition</w:t>
            </w:r>
          </w:p>
        </w:tc>
        <w:tc>
          <w:tcPr>
            <w:tcW w:type="dxa" w:w="3120"/>
          </w:tcPr>
          <w:tcPr/>
          <w:p>
            <w:r>
              <w:rPr>
                <w:rFonts w:ascii="Times New Roman" w:hAnsi="Times New Roman"/>
                <w:sz w:val="20"/>
              </w:rPr>
              <w:t>13 retained; 87 excluded</w:t>
            </w:r>
          </w:p>
        </w:tc>
        <w:tc>
          <w:tcPr>
            <w:tcW w:type="dxa" w:w="3120"/>
          </w:tcPr>
          <w:tcPr/>
          <w:p>
            <w:r>
              <w:rPr>
                <w:rFonts w:ascii="Times New Roman" w:hAnsi="Times New Roman"/>
                <w:sz w:val="20"/>
              </w:rPr>
              <w:t>The seven clear R1/R2 retains remained retained, with the six uncertainty/disagreement records. All 13 are provisional full-text candidates, not final included studies.</w:t>
            </w:r>
          </w:p>
        </w:tc>
      </w:tr>
      <w:tr>
        <w:tc>
          <w:tcPr>
            <w:tcW w:type="dxa" w:w="3120"/>
          </w:tcPr>
          <w:tcPr/>
          <w:p>
            <w:r>
              <w:rPr>
                <w:rFonts w:ascii="Times New Roman" w:hAnsi="Times New Roman"/>
                <w:sz w:val="20"/>
              </w:rPr>
              <w:t>Batch B4: scope and final disposition</w:t>
            </w:r>
          </w:p>
        </w:tc>
        <w:tc>
          <w:tcPr>
            <w:tcW w:type="dxa" w:w="3120"/>
          </w:tcPr>
          <w:tcPr/>
          <w:p>
            <w:r>
              <w:rPr>
                <w:rFonts w:ascii="Times New Roman" w:hAnsi="Times New Roman"/>
                <w:sz w:val="20"/>
              </w:rPr>
              <w:t>100 records CAN-0381-CAN-0480; exact R1/R2 agreement (100/100)</w:t>
            </w:r>
          </w:p>
        </w:tc>
        <w:tc>
          <w:tcPr>
            <w:tcW w:type="dxa" w:w="3120"/>
          </w:tcPr>
          <w:tcPr/>
          <w:p>
            <w:r>
              <w:rPr>
                <w:rFonts w:ascii="Times New Roman" w:hAnsi="Times New Roman"/>
                <w:sz w:val="20"/>
              </w:rPr>
              <w:t>0 clear Include-for-full-text; 11 Unsure/retain-for-full-text, all retained provisionally for full text; 89 Exclude; no disagreements.</w:t>
            </w:r>
          </w:p>
        </w:tc>
      </w:tr>
      <w:tr>
        <w:tc>
          <w:tcPr>
            <w:tcW w:type="dxa" w:w="3120"/>
          </w:tcPr>
          <w:p>
            <w:r>
              <w:rPr>
                <w:rFonts w:ascii="Times New Roman" w:hAnsi="Times New Roman"/>
                <w:sz w:val="20"/>
              </w:rPr>
              <w:t>Cumulative unique register through B20 (B19 duplicate audit non-additive)</w:t>
            </w:r>
          </w:p>
        </w:tc>
        <w:tc>
          <w:tcPr>
            <w:tcW w:type="dxa" w:w="3120"/>
          </w:tcPr>
          <w:p>
            <w:r>
              <w:rPr>
                <w:rFonts w:ascii="Times New Roman" w:hAnsi="Times New Roman"/>
                <w:sz w:val="20"/>
              </w:rPr>
              <w:t>1,877 screened; 1,581 excluded; 296 provisional full-text candidates</w:t>
            </w:r>
          </w:p>
        </w:tc>
        <w:tc>
          <w:tcPr>
            <w:tcW w:type="dxa" w:w="3120"/>
          </w:tcPr>
          <w:p>
            <w:r>
              <w:rPr>
                <w:rFonts w:ascii="Times New Roman" w:hAnsi="Times New Roman"/>
                <w:sz w:val="20"/>
              </w:rPr>
              <w:t>Aggregate title/metadata coverage only. Exact retained-ID reconstruction for earlier batches,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20"/>
              </w:rPr>
              <w:t>Stage</w:t>
            </w:r>
          </w:p>
        </w:tc>
        <w:tc>
          <w:tcPr>
            <w:tcW w:type="dxa" w:w="3120"/>
            <w:vAlign w:val="center"/>
            <w:shd w:fill="D9EAD3"/>
          </w:tcPr>
          <w:p>
            <w:r>
              <w:rPr>
                <w:rFonts w:ascii="Times New Roman" w:hAnsi="Times New Roman" w:eastAsia="Times New Roman"/>
                <w:b/>
                <w:sz w:val="20"/>
              </w:rPr>
              <w:t>Fields to complete after eligibility</w:t>
            </w:r>
          </w:p>
        </w:tc>
        <w:tc>
          <w:tcPr>
            <w:tcW w:type="dxa" w:w="3120"/>
            <w:vAlign w:val="center"/>
            <w:shd w:fill="D9EAD3"/>
          </w:tcPr>
          <w:p>
            <w:r>
              <w:rPr>
                <w:rFonts w:ascii="Times New Roman" w:hAnsi="Times New Roman" w:eastAsia="Times New Roman"/>
                <w:b/>
                <w:sz w:val="20"/>
              </w:rPr>
              <w:t>Status</w:t>
            </w:r>
          </w:p>
        </w:tc>
      </w:tr>
      <w:tr>
        <w:tc>
          <w:tcPr>
            <w:tcW w:type="dxa" w:w="3120"/>
            <w:vAlign w:val="top"/>
          </w:tcPr>
          <w:p>
            <w:r>
              <w:rPr>
                <w:rFonts w:ascii="Times New Roman" w:hAnsi="Times New Roman" w:eastAsia="Times New Roman"/>
                <w:b w:val="0"/>
                <w:sz w:val="20"/>
              </w:rPr>
              <w:t>Title/abstract log</w:t>
            </w:r>
          </w:p>
        </w:tc>
        <w:tc>
          <w:tcPr>
            <w:tcW w:type="dxa" w:w="3120"/>
            <w:vAlign w:val="top"/>
          </w:tcPr>
          <w:p>
            <w:r>
              <w:rPr>
                <w:rFonts w:ascii="Times New Roman" w:hAnsi="Times New Roman" w:eastAsia="Times New Roman"/>
                <w:b w:val="0"/>
                <w:sz w:val="20"/>
              </w:rPr>
              <w:t>Canonical ID; source lineage; reviewer and date; Nigeria link; avian laboratory confirmation; eligible evidence type; primary/extractable data; Include/Exclude/Unsure; one reason and note.</w:t>
            </w:r>
          </w:p>
        </w:tc>
        <w:tc>
          <w:tcPr>
            <w:tcW w:type="dxa" w:w="3120"/>
            <w:vAlign w:val="top"/>
          </w:tcPr>
          <w:p>
            <w:r>
              <w:rPr>
                <w:rFonts w:ascii="Times New Roman" w:hAnsi="Times New Roman"/>
                <w:sz w:val="20"/>
              </w:rPr>
              <w:t>Ready; 1,877 records have aggregate title/metadata dispositions, but the exact retained-ID queue from earlier batches must be reconstructed.</w:t>
            </w:r>
          </w:p>
        </w:tc>
      </w:tr>
      <w:tr>
        <w:tc>
          <w:tcPr>
            <w:tcW w:type="dxa" w:w="3120"/>
            <w:vAlign w:val="top"/>
          </w:tcPr>
          <w:p>
            <w:r>
              <w:rPr>
                <w:rFonts w:ascii="Times New Roman" w:hAnsi="Times New Roman" w:eastAsia="Times New Roman"/>
                <w:b w:val="0"/>
                <w:sz w:val="20"/>
              </w:rPr>
              <w:t>Full-text eligibility (T6)</w:t>
            </w:r>
          </w:p>
        </w:tc>
        <w:tc>
          <w:tcPr>
            <w:tcW w:type="dxa" w:w="3120"/>
            <w:vAlign w:val="top"/>
          </w:tcPr>
          <w:p>
            <w:r>
              <w:rPr>
                <w:rFonts w:ascii="Times New Roman" w:hAnsi="Times New Roman" w:eastAsia="Times New Roman"/>
                <w:b w:val="0"/>
                <w:sz w:val="20"/>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sz w:val="20"/>
              </w:rPr>
              <w:t>Ready; 296 provisional candidates await full-text assessment; no final full-text decisions.</w:t>
            </w:r>
          </w:p>
        </w:tc>
      </w:tr>
      <w:tr>
        <w:tc>
          <w:tcPr>
            <w:tcW w:type="dxa" w:w="3120"/>
            <w:vAlign w:val="top"/>
          </w:tcPr>
          <w:p>
            <w:r>
              <w:rPr>
                <w:rFonts w:ascii="Times New Roman" w:hAnsi="Times New Roman" w:eastAsia="Times New Roman"/>
                <w:b w:val="0"/>
                <w:sz w:val="20"/>
              </w:rPr>
              <w:t>Extraction (T1-T5)</w:t>
            </w:r>
          </w:p>
        </w:tc>
        <w:tc>
          <w:tcPr>
            <w:tcW w:type="dxa" w:w="3120"/>
            <w:vAlign w:val="top"/>
          </w:tcPr>
          <w:p>
            <w:r>
              <w:rPr>
                <w:rFonts w:ascii="Times New Roman" w:hAnsi="Times New Roman" w:eastAsia="Times New Roman"/>
                <w:b w:val="0"/>
                <w:sz w:val="20"/>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20"/>
              </w:rPr>
              <w:t>Ready; zero records extracted.</w:t>
            </w:r>
          </w:p>
        </w:tc>
      </w:tr>
      <w:tr>
        <w:tc>
          <w:tcPr>
            <w:tcW w:type="dxa" w:w="3120"/>
            <w:vAlign w:val="top"/>
          </w:tcPr>
          <w:p>
            <w:r>
              <w:rPr>
                <w:rFonts w:ascii="Times New Roman" w:hAnsi="Times New Roman" w:eastAsia="Times New Roman"/>
                <w:b w:val="0"/>
                <w:sz w:val="20"/>
              </w:rPr>
              <w:t>Risk of bias/certainty (T7)</w:t>
            </w:r>
          </w:p>
        </w:tc>
        <w:tc>
          <w:tcPr>
            <w:tcW w:type="dxa" w:w="3120"/>
            <w:vAlign w:val="top"/>
          </w:tcPr>
          <w:p>
            <w:r>
              <w:rPr>
                <w:rFonts w:ascii="Times New Roman" w:hAnsi="Times New Roman" w:eastAsia="Times New Roman"/>
                <w:b w:val="0"/>
                <w:sz w:val="20"/>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20"/>
              </w:rPr>
              <w:t>Ready; zero records appraised.</w:t>
            </w:r>
          </w:p>
        </w:tc>
      </w:tr>
    </w:tbl>
    <w:p>
      <w:r>
        <w:rPr>
          <w:rFonts w:ascii="Times New Roman" w:hAnsi="Times New Roman"/>
          <w:sz w:val="22"/>
        </w:rPr>
        <w:t>Next controlled action: reconcile the 296-record full-text retrieval inventory, open/download the 107 located free/open routes, document legitimate outcomes for the 24 metadata/subscription-only routes and 165 unresolved/missing-identifier records, then perform dual-review full-text eligibility with fixed exclusion reasons and page/section evidence. Do not begin wider extraction or risk-of-bias appraisal until full-text eligibility is fixed; do not claim a final PRISMA flow, included-study count, certainty finding or SWiM synthesis until those gates are complete.</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p>
      <w:pPr>
        <w:pStyle w:val="Heading2"/>
      </w:pPr>
      <w:r>
        <w:t>B17. Adjudicated Batch B17 title/metadata screening update</w:t>
      </w:r>
    </w:p>
    <w:p>
      <w:r>
        <w:t>Batch B17 comprised CAN-1681–CAN-1780 (100 records). R1 retained 35 records and excluded 65; R2 retained 23 and excluded 77. All 23 R2 retains were also retained by R1; the reviewers differed on 12 records. Applying the prespecified conservative rule, those 12 R1-only records remained in the full-text queue. The final B17 disposition is therefore 35 provisional full-text candidates and 65 exclusions. These are provisional candidates, not final included studies; full-text eligibility remains outstanding.</w:t>
      </w:r>
    </w:p>
    <w:p>
      <w:pPr>
        <w:pStyle w:val="Heading2"/>
      </w:pPr>
      <w:r>
        <w:t>B18. Adjudicated Batch B18 title/metadata screening update</w:t>
      </w:r>
    </w:p>
    <w:p>
      <w:r>
        <w:t>Batch B18 comprised CAN-1781–CAN-1877 (97 records), the end of the canonical register. R1 retained 18 records and excluded 79; R2 retained 11 and excluded 86. The reviewers differed on 9 records. Applying the prespecified conservative rule, all disagreement records were retained for full-text assessment. The final B18 disposition is therefore 19 provisional full-text candidates and 78 exclusions. These are provisional candidates, not final included studies; full-text eligibility remains outstanding.</w:t>
      </w:r>
    </w:p>
    <w:p>
      <w:pPr>
        <w:pStyle w:val="Heading2"/>
      </w:pPr>
      <w:r>
        <w:rPr>
          <w:rFonts w:ascii="Times New Roman" w:hAnsi="Times New Roman"/>
          <w:sz w:val="22"/>
        </w:rPr>
        <w:t>B19. Duplicate-range audit and retrieval pilot</w:t>
      </w:r>
    </w:p>
    <w:p>
      <w:r>
        <w:rPr>
          <w:rFonts w:ascii="Times New Roman" w:hAnsi="Times New Roman"/>
          <w:sz w:val="22"/>
        </w:rPr>
        <w:t>The earlier B19 pass screened CAN-0241-CAN-0280, a range already covered by B3. It therefore contributes zero new unique identities and must not be added to the 1,877-record denominator. Its 8-record retrieval/extraction pilot remains useful as a method calibration, but its provisional exclusions and retains are not new B19 screening counts. The true uncovered range was CAN-0341-CAN-0380 and is recorded below as B20.</w:t>
      </w:r>
    </w:p>
    <w:p>
      <w:pPr>
        <w:pStyle w:val="Heading2"/>
      </w:pPr>
      <w:r>
        <w:t>B19 full-text retrieval and eligibility pilot</w:t>
      </w:r>
    </w:p>
    <w:p>
      <w:r>
        <w:rPr>
          <w:rFonts w:ascii="Times New Roman" w:hAnsi="Times New Roman"/>
          <w:sz w:val="22"/>
        </w:rPr>
        <w:t>A targeted evidence pilot was conducted on eight records from the duplicate-range B19 audit using PubMed, institutional repositories, an open full-text article, and an institutional dissertation record. This pilot does not change the 296-record provisional full-text queue or create a final included-study count. It demonstrates the evidence rule for the next gate: final full-text decisions require the complete article or a documented retrieval failure, and duplicate/dataset linkage must still be checked.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sz w:val="20"/>
              </w:rPr>
              <w:t>Candidate</w:t>
            </w:r>
          </w:p>
        </w:tc>
        <w:tc>
          <w:tcPr>
            <w:tcW w:type="dxa" w:w="2340"/>
          </w:tcPr>
          <w:p>
            <w:r>
              <w:rPr>
                <w:rFonts w:ascii="Times New Roman" w:hAnsi="Times New Roman"/>
                <w:sz w:val="20"/>
              </w:rPr>
              <w:t>Evidence located</w:t>
            </w:r>
          </w:p>
        </w:tc>
        <w:tc>
          <w:tcPr>
            <w:tcW w:type="dxa" w:w="2340"/>
          </w:tcPr>
          <w:p>
            <w:r>
              <w:rPr>
                <w:rFonts w:ascii="Times New Roman" w:hAnsi="Times New Roman"/>
                <w:sz w:val="20"/>
              </w:rPr>
              <w:t>Pilot disposition</w:t>
            </w:r>
          </w:p>
        </w:tc>
        <w:tc>
          <w:tcPr>
            <w:tcW w:type="dxa" w:w="2340"/>
          </w:tcPr>
          <w:p>
            <w:r>
              <w:rPr>
                <w:rFonts w:ascii="Times New Roman" w:hAnsi="Times New Roman"/>
                <w:sz w:val="20"/>
              </w:rPr>
              <w:t>Next action</w:t>
            </w:r>
          </w:p>
        </w:tc>
      </w:tr>
      <w:tr>
        <w:tc>
          <w:tcPr>
            <w:tcW w:type="dxa" w:w="2340"/>
          </w:tcPr>
          <w:p>
            <w:r>
              <w:rPr>
                <w:rFonts w:ascii="Times New Roman" w:hAnsi="Times New Roman"/>
                <w:sz w:val="20"/>
              </w:rPr>
              <w:t>CAN-0243</w:t>
            </w:r>
          </w:p>
        </w:tc>
        <w:tc>
          <w:tcPr>
            <w:tcW w:type="dxa" w:w="2340"/>
          </w:tcPr>
          <w:p>
            <w:r>
              <w:rPr>
                <w:rFonts w:ascii="Times New Roman" w:hAnsi="Times New Roman"/>
                <w:sz w:val="20"/>
              </w:rPr>
              <w:t>PubMed abstract; DOI 10.1016/j.prevetmed.2010.11.007</w:t>
            </w:r>
          </w:p>
        </w:tc>
        <w:tc>
          <w:tcPr>
            <w:tcW w:type="dxa" w:w="2340"/>
          </w:tcPr>
          <w:p>
            <w:r>
              <w:rPr>
                <w:rFonts w:ascii="Times New Roman" w:hAnsi="Times New Roman"/>
                <w:sz w:val="20"/>
              </w:rPr>
              <w:t>Retain for full-text eligibility; Nigeria case-control evidence is supported.</w:t>
            </w:r>
          </w:p>
        </w:tc>
        <w:tc>
          <w:tcPr>
            <w:tcW w:type="dxa" w:w="2340"/>
          </w:tcPr>
          <w:p>
            <w:r>
              <w:rPr>
                <w:rFonts w:ascii="Times New Roman" w:hAnsi="Times New Roman"/>
                <w:sz w:val="20"/>
              </w:rPr>
              <w:t>Retrieve article; extract design, sample, exposures and estimates.</w:t>
            </w:r>
          </w:p>
        </w:tc>
      </w:tr>
      <w:tr>
        <w:tc>
          <w:tcPr>
            <w:tcW w:type="dxa" w:w="2340"/>
          </w:tcPr>
          <w:p>
            <w:r>
              <w:rPr>
                <w:rFonts w:ascii="Times New Roman" w:hAnsi="Times New Roman"/>
                <w:sz w:val="20"/>
              </w:rPr>
              <w:t>CAN-0244</w:t>
            </w:r>
          </w:p>
        </w:tc>
        <w:tc>
          <w:tcPr>
            <w:tcW w:type="dxa" w:w="2340"/>
          </w:tcPr>
          <w:p>
            <w:r>
              <w:rPr>
                <w:rFonts w:ascii="Times New Roman" w:hAnsi="Times New Roman"/>
                <w:sz w:val="20"/>
              </w:rPr>
              <w:t>Open institutional PDF; DOI 10.1016/j.prevetmed.2011.10.001</w:t>
            </w:r>
          </w:p>
        </w:tc>
        <w:tc>
          <w:tcPr>
            <w:tcW w:type="dxa" w:w="2340"/>
          </w:tcPr>
          <w:p>
            <w:r>
              <w:rPr>
                <w:rFonts w:ascii="Times New Roman" w:hAnsi="Times New Roman"/>
                <w:sz w:val="20"/>
              </w:rPr>
              <w:t>Retain for full-text eligibility; Nigeria spatio-temporal outbreak evidence is supported.</w:t>
            </w:r>
          </w:p>
        </w:tc>
        <w:tc>
          <w:tcPr>
            <w:tcW w:type="dxa" w:w="2340"/>
          </w:tcPr>
          <w:p>
            <w:r>
              <w:rPr>
                <w:rFonts w:ascii="Times New Roman" w:hAnsi="Times New Roman"/>
                <w:sz w:val="20"/>
              </w:rPr>
              <w:t>Check full text for dataset overlap and extract spatial/temporal methods.</w:t>
            </w:r>
          </w:p>
        </w:tc>
      </w:tr>
      <w:tr>
        <w:tc>
          <w:tcPr>
            <w:tcW w:type="dxa" w:w="2340"/>
          </w:tcPr>
          <w:p>
            <w:r>
              <w:rPr>
                <w:rFonts w:ascii="Times New Roman" w:hAnsi="Times New Roman"/>
                <w:sz w:val="20"/>
              </w:rPr>
              <w:t>CAN-0245</w:t>
            </w:r>
          </w:p>
        </w:tc>
        <w:tc>
          <w:tcPr>
            <w:tcW w:type="dxa" w:w="2340"/>
          </w:tcPr>
          <w:p>
            <w:r>
              <w:rPr>
                <w:rFonts w:ascii="Times New Roman" w:hAnsi="Times New Roman"/>
                <w:sz w:val="20"/>
              </w:rPr>
              <w:t>Institutional dissertation record; DOI 10.1016/j.prevetmed.2014.04.003</w:t>
            </w:r>
          </w:p>
        </w:tc>
        <w:tc>
          <w:tcPr>
            <w:tcW w:type="dxa" w:w="2340"/>
          </w:tcPr>
          <w:p>
            <w:r>
              <w:rPr>
                <w:rFonts w:ascii="Times New Roman" w:hAnsi="Times New Roman"/>
                <w:sz w:val="20"/>
              </w:rPr>
              <w:t>Retrieval unresolved; title supports Nigeria risk-assessment relevance.</w:t>
            </w:r>
          </w:p>
        </w:tc>
        <w:tc>
          <w:tcPr>
            <w:tcW w:type="dxa" w:w="2340"/>
          </w:tcPr>
          <w:p>
            <w:r>
              <w:rPr>
                <w:rFonts w:ascii="Times New Roman" w:hAnsi="Times New Roman"/>
                <w:sz w:val="20"/>
              </w:rPr>
              <w:t>Retrieve dissertation/full text and confirm primary data and eligibility.</w:t>
            </w:r>
          </w:p>
        </w:tc>
      </w:tr>
      <w:tr>
        <w:tc>
          <w:tcPr>
            <w:tcW w:type="dxa" w:w="2340"/>
          </w:tcPr>
          <w:p>
            <w:r>
              <w:rPr>
                <w:rFonts w:ascii="Times New Roman" w:hAnsi="Times New Roman"/>
                <w:sz w:val="20"/>
              </w:rPr>
              <w:t>CAN-0246</w:t>
            </w:r>
          </w:p>
        </w:tc>
        <w:tc>
          <w:tcPr>
            <w:tcW w:type="dxa" w:w="2340"/>
          </w:tcPr>
          <w:p>
            <w:r>
              <w:rPr>
                <w:rFonts w:ascii="Times New Roman" w:hAnsi="Times New Roman"/>
                <w:sz w:val="20"/>
              </w:rPr>
              <w:t>Open RVC manuscript PDF and PubMed abstract; DOI 10.1016/j.prevetmed.2016.05.003</w:t>
            </w:r>
          </w:p>
        </w:tc>
        <w:tc>
          <w:tcPr>
            <w:tcW w:type="dxa" w:w="2340"/>
          </w:tcPr>
          <w:p>
            <w:r>
              <w:rPr>
                <w:rFonts w:ascii="Times New Roman" w:hAnsi="Times New Roman"/>
                <w:sz w:val="20"/>
              </w:rPr>
              <w:t>Retain for full-text eligibility; Nigeria passive-surveillance study is supported.</w:t>
            </w:r>
          </w:p>
        </w:tc>
        <w:tc>
          <w:tcPr>
            <w:tcW w:type="dxa" w:w="2340"/>
          </w:tcPr>
          <w:p>
            <w:r>
              <w:rPr>
                <w:rFonts w:ascii="Times New Roman" w:hAnsi="Times New Roman"/>
                <w:sz w:val="20"/>
              </w:rPr>
              <w:t>Verify manuscript version against final article and extract model inputs/results.</w:t>
            </w:r>
          </w:p>
        </w:tc>
      </w:tr>
      <w:tr>
        <w:tc>
          <w:tcPr>
            <w:tcW w:type="dxa" w:w="2340"/>
          </w:tcPr>
          <w:p>
            <w:r>
              <w:rPr>
                <w:rFonts w:ascii="Times New Roman" w:hAnsi="Times New Roman"/>
                <w:sz w:val="20"/>
              </w:rPr>
              <w:t>CAN-0258</w:t>
            </w:r>
          </w:p>
        </w:tc>
        <w:tc>
          <w:tcPr>
            <w:tcW w:type="dxa" w:w="2340"/>
          </w:tcPr>
          <w:p>
            <w:r>
              <w:rPr>
                <w:rFonts w:ascii="Times New Roman" w:hAnsi="Times New Roman"/>
                <w:sz w:val="20"/>
              </w:rPr>
              <w:t>PubMed/PMC full text; DOI 10.1016/j.psj.2022.102156</w:t>
            </w:r>
          </w:p>
        </w:tc>
        <w:tc>
          <w:tcPr>
            <w:tcW w:type="dxa" w:w="2340"/>
          </w:tcPr>
          <w:p>
            <w:r>
              <w:rPr>
                <w:rFonts w:ascii="Times New Roman" w:hAnsi="Times New Roman"/>
                <w:sz w:val="20"/>
              </w:rPr>
              <w:t>Full-text exclusion confirmed: Egypt-only H5N8 ostrich study; no Nigeria primary data.</w:t>
            </w:r>
          </w:p>
        </w:tc>
        <w:tc>
          <w:tcPr>
            <w:tcW w:type="dxa" w:w="2340"/>
          </w:tcPr>
          <w:p>
            <w:r>
              <w:rPr>
                <w:rFonts w:ascii="Times New Roman" w:hAnsi="Times New Roman"/>
                <w:sz w:val="20"/>
              </w:rPr>
              <w:t>Record fixed exclusion in full-text log; do not include in Nigeria synthesis.</w:t>
            </w:r>
          </w:p>
        </w:tc>
      </w:tr>
      <w:tr>
        <w:tc>
          <w:tcPr>
            <w:tcW w:type="dxa" w:w="2340"/>
          </w:tcPr>
          <w:p>
            <w:r>
              <w:rPr>
                <w:rFonts w:ascii="Times New Roman" w:hAnsi="Times New Roman"/>
                <w:sz w:val="20"/>
              </w:rPr>
              <w:t>CAN-0266</w:t>
            </w:r>
          </w:p>
        </w:tc>
        <w:tc>
          <w:tcPr>
            <w:tcW w:type="dxa" w:w="2340"/>
          </w:tcPr>
          <w:p>
            <w:r>
              <w:rPr>
                <w:rFonts w:ascii="Times New Roman" w:hAnsi="Times New Roman"/>
                <w:sz w:val="20"/>
              </w:rPr>
              <w:t>PubMed record; DOI 10.1016/j.rvsc.2018.06.006</w:t>
            </w:r>
          </w:p>
        </w:tc>
        <w:tc>
          <w:tcPr>
            <w:tcW w:type="dxa" w:w="2340"/>
          </w:tcPr>
          <w:p>
            <w:r>
              <w:rPr>
                <w:rFonts w:ascii="Times New Roman" w:hAnsi="Times New Roman"/>
                <w:sz w:val="20"/>
              </w:rPr>
              <w:t>Retain for full-text eligibility; Nigeria surveillance/control cost assessment is supported.</w:t>
            </w:r>
          </w:p>
        </w:tc>
        <w:tc>
          <w:tcPr>
            <w:tcW w:type="dxa" w:w="2340"/>
          </w:tcPr>
          <w:p>
            <w:r>
              <w:rPr>
                <w:rFonts w:ascii="Times New Roman" w:hAnsi="Times New Roman"/>
                <w:sz w:val="20"/>
              </w:rPr>
              <w:t>Retrieve article and confirm whether eligible epidemiologic inputs are extractable.</w:t>
            </w:r>
          </w:p>
        </w:tc>
      </w:tr>
      <w:tr>
        <w:tc>
          <w:tcPr>
            <w:tcW w:type="dxa" w:w="2340"/>
          </w:tcPr>
          <w:p>
            <w:r>
              <w:rPr>
                <w:rFonts w:ascii="Times New Roman" w:hAnsi="Times New Roman"/>
                <w:sz w:val="20"/>
              </w:rPr>
              <w:t>CAN-0269</w:t>
            </w:r>
          </w:p>
        </w:tc>
        <w:tc>
          <w:tcPr>
            <w:tcW w:type="dxa" w:w="2340"/>
          </w:tcPr>
          <w:p>
            <w:r>
              <w:rPr>
                <w:rFonts w:ascii="Times New Roman" w:hAnsi="Times New Roman"/>
                <w:sz w:val="20"/>
              </w:rPr>
              <w:t>Open institutional full text; DOI 10.1016/j.scitotenv.2024.173692</w:t>
            </w:r>
          </w:p>
        </w:tc>
        <w:tc>
          <w:tcPr>
            <w:tcW w:type="dxa" w:w="2340"/>
          </w:tcPr>
          <w:p>
            <w:r>
              <w:rPr>
                <w:rFonts w:ascii="Times New Roman" w:hAnsi="Times New Roman"/>
                <w:sz w:val="20"/>
              </w:rPr>
              <w:t>Full-text exclusion confirmed: narrative review, not primary Nigeria evidence.</w:t>
            </w:r>
          </w:p>
        </w:tc>
        <w:tc>
          <w:tcPr>
            <w:tcW w:type="dxa" w:w="2340"/>
          </w:tcPr>
          <w:p>
            <w:r>
              <w:rPr>
                <w:rFonts w:ascii="Times New Roman" w:hAnsi="Times New Roman"/>
                <w:sz w:val="20"/>
              </w:rPr>
              <w:t>Record fixed exclusion in full-text log; do not include in Nigeria synthesis.</w:t>
            </w:r>
          </w:p>
        </w:tc>
      </w:tr>
      <w:tr>
        <w:tc>
          <w:tcPr>
            <w:tcW w:type="dxa" w:w="2340"/>
          </w:tcPr>
          <w:p>
            <w:r>
              <w:rPr>
                <w:rFonts w:ascii="Times New Roman" w:hAnsi="Times New Roman"/>
                <w:sz w:val="20"/>
              </w:rPr>
              <w:t>CAN-0275</w:t>
            </w:r>
          </w:p>
        </w:tc>
        <w:tc>
          <w:tcPr>
            <w:tcW w:type="dxa" w:w="2340"/>
          </w:tcPr>
          <w:p>
            <w:r>
              <w:rPr>
                <w:rFonts w:ascii="Times New Roman" w:hAnsi="Times New Roman"/>
                <w:sz w:val="20"/>
              </w:rPr>
              <w:t>PubMed abstract; DOI 10.1016/j.trstmh.2008.01.016</w:t>
            </w:r>
          </w:p>
        </w:tc>
        <w:tc>
          <w:tcPr>
            <w:tcW w:type="dxa" w:w="2340"/>
          </w:tcPr>
          <w:p>
            <w:r>
              <w:rPr>
                <w:rFonts w:ascii="Times New Roman" w:hAnsi="Times New Roman"/>
                <w:sz w:val="20"/>
              </w:rPr>
              <w:t>Retain for full-text eligibility; Nigeria/West Africa ecological modelling is supported.</w:t>
            </w:r>
          </w:p>
        </w:tc>
        <w:tc>
          <w:tcPr>
            <w:tcW w:type="dxa" w:w="2340"/>
          </w:tcPr>
          <w:p>
            <w:r>
              <w:rPr>
                <w:rFonts w:ascii="Times New Roman" w:hAnsi="Times New Roman"/>
                <w:sz w:val="20"/>
              </w:rPr>
              <w:t>Retrieve article and extract occurrence data, covariates and model validation.</w:t>
            </w:r>
          </w:p>
        </w:tc>
      </w:tr>
    </w:tbl>
    <w:p>
      <w:r>
        <w:t>Pilot outcome: 2 provisional full-text exclusions supported by accessible full text, 5 candidates with direct Nigeria-relevant evidence requiring full-text extraction/eligibility confirmation, and 1 candidate with unresolved dissertation retrieval. These pilot decisions are not the final review counts.</w:t>
      </w:r>
    </w:p>
    <w:p>
      <w:pPr>
        <w:pStyle w:val="Heading2"/>
      </w:pPr>
      <w:r>
        <w:t>B19 extraction calibration pilot</w:t>
      </w:r>
    </w:p>
    <w:p>
      <w:r>
        <w:t>The following calibration fields are recorded to test the extraction structure before wider use. Abstract-level fields are marked as such and must not be treated as complete extraction. No risk-of-bias judgement or final synthesis conclusion is assigned at this stage.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sz w:val="20"/>
              </w:rPr>
              <w:t>Candidate</w:t>
            </w:r>
          </w:p>
        </w:tc>
        <w:tc>
          <w:tcPr>
            <w:tcW w:type="dxa" w:w="1872"/>
          </w:tcPr>
          <w:p>
            <w:r>
              <w:rPr>
                <w:rFonts w:ascii="Times New Roman" w:hAnsi="Times New Roman"/>
                <w:sz w:val="20"/>
              </w:rPr>
              <w:t>Evidence level</w:t>
            </w:r>
          </w:p>
        </w:tc>
        <w:tc>
          <w:tcPr>
            <w:tcW w:type="dxa" w:w="1872"/>
          </w:tcPr>
          <w:p>
            <w:r>
              <w:rPr>
                <w:rFonts w:ascii="Times New Roman" w:hAnsi="Times New Roman"/>
                <w:sz w:val="20"/>
              </w:rPr>
              <w:t>Design/setting</w:t>
            </w:r>
          </w:p>
        </w:tc>
        <w:tc>
          <w:tcPr>
            <w:tcW w:type="dxa" w:w="1872"/>
          </w:tcPr>
          <w:p>
            <w:r>
              <w:rPr>
                <w:rFonts w:ascii="Times New Roman" w:hAnsi="Times New Roman"/>
                <w:sz w:val="20"/>
              </w:rPr>
              <w:t>Population or data</w:t>
            </w:r>
          </w:p>
        </w:tc>
        <w:tc>
          <w:tcPr>
            <w:tcW w:type="dxa" w:w="1872"/>
          </w:tcPr>
          <w:p>
            <w:r>
              <w:rPr>
                <w:rFonts w:ascii="Times New Roman" w:hAnsi="Times New Roman"/>
                <w:sz w:val="20"/>
              </w:rPr>
              <w:t>Extracted result / pending item</w:t>
            </w:r>
          </w:p>
        </w:tc>
      </w:tr>
      <w:tr>
        <w:tc>
          <w:tcPr>
            <w:tcW w:type="dxa" w:w="1872"/>
          </w:tcPr>
          <w:p>
            <w:r>
              <w:rPr>
                <w:rFonts w:ascii="Times New Roman" w:hAnsi="Times New Roman"/>
                <w:sz w:val="20"/>
              </w:rPr>
              <w:t>CAN-0243</w:t>
            </w:r>
          </w:p>
        </w:tc>
        <w:tc>
          <w:tcPr>
            <w:tcW w:type="dxa" w:w="1872"/>
          </w:tcPr>
          <w:p>
            <w:r>
              <w:rPr>
                <w:rFonts w:ascii="Times New Roman" w:hAnsi="Times New Roman"/>
                <w:sz w:val="20"/>
              </w:rPr>
              <w:t>PubMed abstract</w:t>
            </w:r>
          </w:p>
        </w:tc>
        <w:tc>
          <w:tcPr>
            <w:tcW w:type="dxa" w:w="1872"/>
          </w:tcPr>
          <w:p>
            <w:r>
              <w:rPr>
                <w:rFonts w:ascii="Times New Roman" w:hAnsi="Times New Roman"/>
                <w:sz w:val="20"/>
              </w:rPr>
              <w:t>Matched case-control; Nigerian poultry farms, 2006–2007 H5N1 epidemic.</w:t>
            </w:r>
          </w:p>
        </w:tc>
        <w:tc>
          <w:tcPr>
            <w:tcW w:type="dxa" w:w="1872"/>
          </w:tcPr>
          <w:p>
            <w:r>
              <w:rPr>
                <w:rFonts w:ascii="Times New Roman" w:hAnsi="Times New Roman"/>
                <w:sz w:val="20"/>
              </w:rPr>
              <w:t>32 case farms; 83 control farms.</w:t>
            </w:r>
          </w:p>
        </w:tc>
        <w:tc>
          <w:tcPr>
            <w:tcW w:type="dxa" w:w="1872"/>
          </w:tcPr>
          <w:p>
            <w:r>
              <w:rPr>
                <w:rFonts w:ascii="Times New Roman" w:hAnsi="Times New Roman"/>
                <w:sz w:val="20"/>
              </w:rPr>
              <w:t>Visitors, purchased live poultry/products, and workers living off-farm were reported risk factors; retrieve article for sampling and model details.</w:t>
            </w:r>
          </w:p>
        </w:tc>
      </w:tr>
      <w:tr>
        <w:tc>
          <w:tcPr>
            <w:tcW w:type="dxa" w:w="1872"/>
          </w:tcPr>
          <w:p>
            <w:r>
              <w:rPr>
                <w:rFonts w:ascii="Times New Roman" w:hAnsi="Times New Roman"/>
                <w:sz w:val="20"/>
              </w:rPr>
              <w:t>CAN-0244</w:t>
            </w:r>
          </w:p>
        </w:tc>
        <w:tc>
          <w:tcPr>
            <w:tcW w:type="dxa" w:w="1872"/>
          </w:tcPr>
          <w:p>
            <w:r>
              <w:rPr>
                <w:rFonts w:ascii="Times New Roman" w:hAnsi="Times New Roman"/>
                <w:sz w:val="20"/>
              </w:rPr>
              <w:t>Open full article</w:t>
            </w:r>
          </w:p>
        </w:tc>
        <w:tc>
          <w:tcPr>
            <w:tcW w:type="dxa" w:w="1872"/>
          </w:tcPr>
          <w:p>
            <w:r>
              <w:rPr>
                <w:rFonts w:ascii="Times New Roman" w:hAnsi="Times New Roman"/>
                <w:sz w:val="20"/>
              </w:rPr>
              <w:t>Retrospective outbreak-database analysis; Nigeria, 2006–2008.</w:t>
            </w:r>
          </w:p>
        </w:tc>
        <w:tc>
          <w:tcPr>
            <w:tcW w:type="dxa" w:w="1872"/>
          </w:tcPr>
          <w:p>
            <w:r>
              <w:rPr>
                <w:rFonts w:ascii="Times New Roman" w:hAnsi="Times New Roman"/>
                <w:sz w:val="20"/>
              </w:rPr>
              <w:t>1,654 suspected outbreaks; 299 laboratory-confirmed H5N1 outbreaks from 27 states and FCT.</w:t>
            </w:r>
          </w:p>
        </w:tc>
        <w:tc>
          <w:tcPr>
            <w:tcW w:type="dxa" w:w="1872"/>
          </w:tcPr>
          <w:p>
            <w:r>
              <w:rPr>
                <w:rFonts w:ascii="Times New Roman" w:hAnsi="Times New Roman"/>
                <w:sz w:val="20"/>
              </w:rPr>
              <w:t>Three significant spatio-temporal clusters; extract complete cluster definitions, uncertainty and dataset-linkage fields.</w:t>
            </w:r>
          </w:p>
        </w:tc>
      </w:tr>
      <w:tr>
        <w:tc>
          <w:tcPr>
            <w:tcW w:type="dxa" w:w="1872"/>
          </w:tcPr>
          <w:p>
            <w:r>
              <w:rPr>
                <w:rFonts w:ascii="Times New Roman" w:hAnsi="Times New Roman"/>
                <w:sz w:val="20"/>
              </w:rPr>
              <w:t>CAN-0246</w:t>
            </w:r>
          </w:p>
        </w:tc>
        <w:tc>
          <w:tcPr>
            <w:tcW w:type="dxa" w:w="1872"/>
          </w:tcPr>
          <w:p>
            <w:r>
              <w:rPr>
                <w:rFonts w:ascii="Times New Roman" w:hAnsi="Times New Roman"/>
                <w:sz w:val="20"/>
              </w:rPr>
              <w:t>Open author manuscript plus PubMed abstract</w:t>
            </w:r>
          </w:p>
        </w:tc>
        <w:tc>
          <w:tcPr>
            <w:tcW w:type="dxa" w:w="1872"/>
          </w:tcPr>
          <w:p>
            <w:r>
              <w:rPr>
                <w:rFonts w:ascii="Times New Roman" w:hAnsi="Times New Roman"/>
                <w:sz w:val="20"/>
              </w:rPr>
              <w:t>Field study and scenario-tree model; commercial/backyard chicken farms in Bayelsa State.</w:t>
            </w:r>
          </w:p>
        </w:tc>
        <w:tc>
          <w:tcPr>
            <w:tcW w:type="dxa" w:w="1872"/>
          </w:tcPr>
          <w:p>
            <w:r>
              <w:rPr>
                <w:rFonts w:ascii="Times New Roman" w:hAnsi="Times New Roman"/>
                <w:sz w:val="20"/>
              </w:rPr>
              <w:t>Yenegoa and Ogbia LGAs; reporting and farming-practice observations.</w:t>
            </w:r>
          </w:p>
        </w:tc>
        <w:tc>
          <w:tcPr>
            <w:tcW w:type="dxa" w:w="1872"/>
          </w:tcPr>
          <w:p>
            <w:r>
              <w:rPr>
                <w:rFonts w:ascii="Times New Roman" w:hAnsi="Times New Roman"/>
                <w:sz w:val="20"/>
              </w:rPr>
              <w:t>Median passive-surveillance sensitivity reported as 100%, 67% and 23% under stated prevalence scenarios; verify denominator and model assumptions.</w:t>
            </w:r>
          </w:p>
        </w:tc>
      </w:tr>
      <w:tr>
        <w:tc>
          <w:tcPr>
            <w:tcW w:type="dxa" w:w="1872"/>
          </w:tcPr>
          <w:p>
            <w:r>
              <w:rPr>
                <w:rFonts w:ascii="Times New Roman" w:hAnsi="Times New Roman"/>
                <w:sz w:val="20"/>
              </w:rPr>
              <w:t>CAN-0266</w:t>
            </w:r>
          </w:p>
        </w:tc>
        <w:tc>
          <w:tcPr>
            <w:tcW w:type="dxa" w:w="1872"/>
          </w:tcPr>
          <w:p>
            <w:r>
              <w:rPr>
                <w:rFonts w:ascii="Times New Roman" w:hAnsi="Times New Roman"/>
                <w:sz w:val="20"/>
              </w:rPr>
              <w:t>PubMed abstract</w:t>
            </w:r>
          </w:p>
        </w:tc>
        <w:tc>
          <w:tcPr>
            <w:tcW w:type="dxa" w:w="1872"/>
          </w:tcPr>
          <w:p>
            <w:r>
              <w:rPr>
                <w:rFonts w:ascii="Times New Roman" w:hAnsi="Times New Roman"/>
                <w:sz w:val="20"/>
              </w:rPr>
              <w:t>Benefit-cost analysis of H5N1 outbreak and surveillance costs in Nigeria.</w:t>
            </w:r>
          </w:p>
        </w:tc>
        <w:tc>
          <w:tcPr>
            <w:tcW w:type="dxa" w:w="1872"/>
          </w:tcPr>
          <w:p>
            <w:r>
              <w:rPr>
                <w:rFonts w:ascii="Times New Roman" w:hAnsi="Times New Roman"/>
                <w:sz w:val="20"/>
              </w:rPr>
              <w:t>Field, government, repository and peer-reviewed inputs; bird losses and surveillance costs.</w:t>
            </w:r>
          </w:p>
        </w:tc>
        <w:tc>
          <w:tcPr>
            <w:tcW w:type="dxa" w:w="1872"/>
          </w:tcPr>
          <w:p>
            <w:r>
              <w:rPr>
                <w:rFonts w:ascii="Times New Roman" w:hAnsi="Times New Roman"/>
                <w:sz w:val="20"/>
              </w:rPr>
              <w:t>Direct bird-death cost and modelled annual loss estimates are reported; retrieve article to extract perspective, time horizon, costing and sensitivity analysis.</w:t>
            </w:r>
          </w:p>
        </w:tc>
      </w:tr>
      <w:tr>
        <w:tc>
          <w:tcPr>
            <w:tcW w:type="dxa" w:w="1872"/>
          </w:tcPr>
          <w:p>
            <w:r>
              <w:rPr>
                <w:rFonts w:ascii="Times New Roman" w:hAnsi="Times New Roman"/>
                <w:sz w:val="20"/>
              </w:rPr>
              <w:t>CAN-0275</w:t>
            </w:r>
          </w:p>
        </w:tc>
        <w:tc>
          <w:tcPr>
            <w:tcW w:type="dxa" w:w="1872"/>
          </w:tcPr>
          <w:p>
            <w:r>
              <w:rPr>
                <w:rFonts w:ascii="Times New Roman" w:hAnsi="Times New Roman"/>
                <w:sz w:val="20"/>
              </w:rPr>
              <w:t>PubMed abstract</w:t>
            </w:r>
          </w:p>
        </w:tc>
        <w:tc>
          <w:tcPr>
            <w:tcW w:type="dxa" w:w="1872"/>
          </w:tcPr>
          <w:p>
            <w:r>
              <w:rPr>
                <w:rFonts w:ascii="Times New Roman" w:hAnsi="Times New Roman"/>
                <w:sz w:val="20"/>
              </w:rPr>
              <w:t>Ecological niche modelling of H5N1 transmission in Nigeria and West Africa.</w:t>
            </w:r>
          </w:p>
        </w:tc>
        <w:tc>
          <w:tcPr>
            <w:tcW w:type="dxa" w:w="1872"/>
          </w:tcPr>
          <w:p>
            <w:r>
              <w:rPr>
                <w:rFonts w:ascii="Times New Roman" w:hAnsi="Times New Roman"/>
                <w:sz w:val="20"/>
              </w:rPr>
              <w:t>Nigerian H5N1 occurrence data with 1-km environmental layers.</w:t>
            </w:r>
          </w:p>
        </w:tc>
        <w:tc>
          <w:tcPr>
            <w:tcW w:type="dxa" w:w="1872"/>
          </w:tcPr>
          <w:p>
            <w:r>
              <w:rPr>
                <w:rFonts w:ascii="Times New Roman" w:hAnsi="Times New Roman"/>
                <w:sz w:val="20"/>
              </w:rPr>
              <w:t>Environmental conditions predicted occurrence; retrieve article to extract occurrence dates, spatial validation and model limitations.</w:t>
            </w:r>
          </w:p>
        </w:tc>
      </w:tr>
    </w:tbl>
    <w:p>
      <w:r>
        <w:rPr>
          <w:rFonts w:ascii="Times New Roman" w:hAnsi="Times New Roman"/>
          <w:sz w:val="22"/>
        </w:rPr>
        <w:t>Calibration gate: the extraction form is usable for surveillance, spatio-temporal, risk-factor, economic and ecological-modelling evidence, but the wider extraction phase remains unopened until the 296-record queue and full-text eligibility are reconciled.</w:t>
      </w:r>
    </w:p>
    <w:p>
      <w:pPr>
        <w:pStyle w:val="Heading2"/>
      </w:pPr>
      <w:r>
        <w:rPr>
          <w:rFonts w:ascii="Times New Roman" w:hAnsi="Times New Roman"/>
          <w:sz w:val="22"/>
        </w:rPr>
        <w:t>B20. Corrected true-gap title/metadata screening update</w:t>
      </w:r>
    </w:p>
    <w:p>
      <w:r>
        <w:rPr>
          <w:rFonts w:ascii="Times New Roman" w:hAnsi="Times New Roman"/>
          <w:sz w:val="22"/>
        </w:rPr>
        <w:t>B20 screened the actual uncovered canonical range CAN-0341-CAN-0380 (40 records). R1 retained CAN-0344, CAN-0345, CAN-0359 and CAN-0379 and excluded 36. R2 retained CAN-0344, CAN-0356, CAN-0359 and CAN-0379 and excluded 36. The only disagreement was a two-record decision swap: CAN-0345 versus CAN-0356. Source verification confirmed that CAN-0345 reports surveillance sites in seven Central/West African countries without Nigeria, so it was excluded; CAN-0356 reports Nigerian H5N1 occurrence in a primary geospatial analysis and was retained for full-text verification. Final B20 disposition: 4 provisional full-text candidates and 36 exclusions. This closes the unique-register coverage gap but does not itself reconstruct exact retained IDs from earlier batches.</w:t>
      </w:r>
    </w:p>
    <w:tbl>
      <w:tblPr>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sz w:val="20"/>
              </w:rPr>
              <w:t>B20 record-level screen</w:t>
            </w:r>
          </w:p>
        </w:tc>
        <w:tc>
          <w:tcPr>
            <w:tcW w:type="dxa" w:w="3120"/>
          </w:tcPr>
          <w:p>
            <w:r>
              <w:rPr>
                <w:rFonts w:ascii="Times New Roman" w:hAnsi="Times New Roman"/>
                <w:sz w:val="20"/>
              </w:rPr>
              <w:t>Count</w:t>
            </w:r>
          </w:p>
        </w:tc>
        <w:tc>
          <w:tcPr>
            <w:tcW w:type="dxa" w:w="3120"/>
          </w:tcPr>
          <w:p>
            <w:r>
              <w:rPr>
                <w:rFonts w:ascii="Times New Roman" w:hAnsi="Times New Roman"/>
                <w:sz w:val="20"/>
              </w:rPr>
              <w:t>IDs / adjudication</w:t>
            </w:r>
          </w:p>
        </w:tc>
      </w:tr>
      <w:tr>
        <w:tc>
          <w:tcPr>
            <w:tcW w:type="dxa" w:w="3120"/>
          </w:tcPr>
          <w:p>
            <w:r>
              <w:rPr>
                <w:rFonts w:ascii="Times New Roman" w:hAnsi="Times New Roman"/>
                <w:sz w:val="20"/>
              </w:rPr>
              <w:t>R1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CAN-0345, CAN-0359, CAN-0379</w:t>
            </w:r>
          </w:p>
        </w:tc>
      </w:tr>
      <w:tr>
        <w:tc>
          <w:tcPr>
            <w:tcW w:type="dxa" w:w="3120"/>
          </w:tcPr>
          <w:p>
            <w:r>
              <w:rPr>
                <w:rFonts w:ascii="Times New Roman" w:hAnsi="Times New Roman"/>
                <w:sz w:val="20"/>
              </w:rPr>
              <w:t>R2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CAN-0356, CAN-0359, CAN-0379</w:t>
            </w:r>
          </w:p>
        </w:tc>
      </w:tr>
      <w:tr>
        <w:tc>
          <w:tcPr>
            <w:tcW w:type="dxa" w:w="3120"/>
          </w:tcPr>
          <w:p>
            <w:r>
              <w:rPr>
                <w:rFonts w:ascii="Times New Roman" w:hAnsi="Times New Roman"/>
                <w:sz w:val="20"/>
              </w:rPr>
              <w:t>Adjudicated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CAN-0356, CAN-0359, CAN-0379</w:t>
            </w:r>
          </w:p>
        </w:tc>
      </w:tr>
      <w:tr>
        <w:tc>
          <w:tcPr>
            <w:tcW w:type="dxa" w:w="3120"/>
          </w:tcPr>
          <w:p>
            <w:r>
              <w:rPr>
                <w:rFonts w:ascii="Times New Roman" w:hAnsi="Times New Roman"/>
                <w:sz w:val="20"/>
              </w:rPr>
              <w:t>Adjudicated exclusions</w:t>
            </w:r>
          </w:p>
        </w:tc>
        <w:tc>
          <w:tcPr>
            <w:tcW w:type="dxa" w:w="3120"/>
          </w:tcPr>
          <w:p>
            <w:r>
              <w:rPr>
                <w:rFonts w:ascii="Times New Roman" w:hAnsi="Times New Roman"/>
                <w:sz w:val="20"/>
              </w:rPr>
              <w:t>36</w:t>
            </w:r>
          </w:p>
        </w:tc>
        <w:tc>
          <w:tcPr>
            <w:tcW w:type="dxa" w:w="3120"/>
          </w:tcPr>
          <w:p>
            <w:r>
              <w:rPr>
                <w:rFonts w:ascii="Times New Roman" w:hAnsi="Times New Roman"/>
                <w:sz w:val="20"/>
              </w:rPr>
              <w:t>All remaining IDs in CAN-0341-CAN-0380; CAN-0345 excluded after source verification</w:t>
            </w:r>
          </w:p>
        </w:tc>
      </w:tr>
      <w:tr>
        <w:tc>
          <w:tcPr>
            <w:tcW w:type="dxa" w:w="3120"/>
          </w:tcPr>
          <w:p>
            <w:r>
              <w:rPr>
                <w:rFonts w:ascii="Times New Roman" w:hAnsi="Times New Roman"/>
                <w:sz w:val="20"/>
              </w:rPr>
              <w:t>Unique cumulative status</w:t>
            </w:r>
          </w:p>
        </w:tc>
        <w:tc>
          <w:tcPr>
            <w:tcW w:type="dxa" w:w="3120"/>
          </w:tcPr>
          <w:p>
            <w:r>
              <w:rPr>
                <w:rFonts w:ascii="Times New Roman" w:hAnsi="Times New Roman"/>
                <w:sz w:val="20"/>
              </w:rPr>
              <w:t>1,877 / 1,581 / 296</w:t>
            </w:r>
          </w:p>
        </w:tc>
        <w:tc>
          <w:tcPr>
            <w:tcW w:type="dxa" w:w="3120"/>
          </w:tcPr>
          <w:p>
            <w:r>
              <w:rPr>
                <w:rFonts w:ascii="Times New Roman" w:hAnsi="Times New Roman"/>
                <w:sz w:val="20"/>
              </w:rPr>
              <w:t>screened / excluded / provisional full-text candidates; B19 duplicate audit non-additive</w:t>
            </w:r>
          </w:p>
        </w:tc>
      </w:tr>
    </w:tbl>
    <w:p>
      <w:pPr>
        <w:pStyle w:val="Heading2"/>
      </w:pPr>
      <w:r>
        <w:rPr>
          <w:rFonts w:ascii="Times New Roman" w:hAnsi="Times New Roman"/>
        </w:rPr>
        <w:t>B21. Fresh record-level reconstruction and adjudication</w:t>
      </w:r>
    </w:p>
    <w:p>
      <w:r>
        <w:rPr>
          <w:rFonts w:ascii="Times New Roman" w:hAnsi="Times New Roman"/>
          <w:sz w:val="22"/>
        </w:rPr>
        <w:t>Two independent title/metadata passes were completed in 100-record blocks across all 1,877 canonical identities. R1 retained 269 records and R2 retained 277; the conservative union contained 302 records before preservation of the prior evidence-supported pilot and B20 adjudications. The final record-level register contains 296 provisional full-text candidates and 1,581 title/metadata exclusions. The prior adjudicated pilot decisions and the evidence-supported B20 decision for CAN-0344, CAN-0356, CAN-0359 and CAN-0379 were preserved where they differed from the fresh title-only pass. These are provisional retrieval candidates, not final included studies; full-text eligibility, duplicate/dataset linkage, extraction, RoB, certainty, synthesis and PRISMA reporting remain pending.</w:t>
      </w:r>
    </w:p>
    <w:p>
      <w:pPr>
        <w:pStyle w:val="Heading2"/>
      </w:pPr>
      <w:r>
        <w:rPr>
          <w:rFonts w:ascii="Times New Roman" w:hAnsi="Times New Roman"/>
          <w:sz w:val="22"/>
        </w:rPr>
        <w:t>B22. Gate D retrieval inventory</w:t>
      </w:r>
    </w:p>
    <w:p>
      <w:r>
        <w:rPr>
          <w:rFonts w:ascii="Times New Roman" w:hAnsi="Times New Roman"/>
          <w:sz w:val="22"/>
        </w:rPr>
        <w:t>A legitimate retrieval inventory was run on all 296 record-level provisional candidates using public Europe PMC metadata/full-text links, DOI routes and linked repository/Unpaywall routes. The inventory records source URLs, identifier used, metadata match, retrieval status and next action in Workbench/56_SCREENING_RECONCILIATION.json. It does not treat a located link as evidence of eligibility, and it does not bypass subscription controls.</w:t>
      </w:r>
    </w:p>
    <w:tbl>
      <w:tblPr>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sz w:val="20"/>
              </w:rPr>
              <w:t>Retrieval status</w:t>
            </w:r>
          </w:p>
        </w:tc>
        <w:tc>
          <w:tcPr>
            <w:tcW w:type="dxa" w:w="3120"/>
          </w:tcPr>
          <w:p>
            <w:r>
              <w:rPr>
                <w:rFonts w:ascii="Times New Roman" w:hAnsi="Times New Roman"/>
                <w:sz w:val="20"/>
              </w:rPr>
              <w:t>Count</w:t>
            </w:r>
          </w:p>
        </w:tc>
        <w:tc>
          <w:tcPr>
            <w:tcW w:type="dxa" w:w="3120"/>
          </w:tcPr>
          <w:p>
            <w:r>
              <w:rPr>
                <w:rFonts w:ascii="Times New Roman" w:hAnsi="Times New Roman"/>
                <w:sz w:val="20"/>
              </w:rPr>
              <w:t>Meaning</w:t>
            </w:r>
          </w:p>
        </w:tc>
      </w:tr>
      <w:tr>
        <w:tc>
          <w:tcPr>
            <w:tcW w:type="dxa" w:w="3120"/>
          </w:tcPr>
          <w:p>
            <w:r>
              <w:rPr>
                <w:rFonts w:ascii="Times New Roman" w:hAnsi="Times New Roman"/>
                <w:sz w:val="20"/>
              </w:rPr>
              <w:t>Free/open route located</w:t>
            </w:r>
          </w:p>
        </w:tc>
        <w:tc>
          <w:tcPr>
            <w:tcW w:type="dxa" w:w="3120"/>
          </w:tcPr>
          <w:p>
            <w:r>
              <w:rPr>
                <w:rFonts w:ascii="Times New Roman" w:hAnsi="Times New Roman"/>
                <w:sz w:val="20"/>
              </w:rPr>
              <w:t>107</w:t>
            </w:r>
          </w:p>
        </w:tc>
        <w:tc>
          <w:tcPr>
            <w:tcW w:type="dxa" w:w="3120"/>
          </w:tcPr>
          <w:p>
            <w:r>
              <w:rPr>
                <w:rFonts w:ascii="Times New Roman" w:hAnsi="Times New Roman"/>
                <w:sz w:val="20"/>
              </w:rPr>
              <w:t>A legitimate free/open source URL is recorded; full-text opening and eligibility assessment remain pending.</w:t>
            </w:r>
          </w:p>
        </w:tc>
      </w:tr>
      <w:tr>
        <w:tc>
          <w:tcPr>
            <w:tcW w:type="dxa" w:w="3120"/>
          </w:tcPr>
          <w:p>
            <w:r>
              <w:rPr>
                <w:rFonts w:ascii="Times New Roman" w:hAnsi="Times New Roman"/>
                <w:sz w:val="20"/>
              </w:rPr>
              <w:t>Metadata/subscription-only route</w:t>
            </w:r>
          </w:p>
        </w:tc>
        <w:tc>
          <w:tcPr>
            <w:tcW w:type="dxa" w:w="3120"/>
          </w:tcPr>
          <w:p>
            <w:r>
              <w:rPr>
                <w:rFonts w:ascii="Times New Roman" w:hAnsi="Times New Roman"/>
                <w:sz w:val="20"/>
              </w:rPr>
              <w:t>24</w:t>
            </w:r>
          </w:p>
        </w:tc>
        <w:tc>
          <w:tcPr>
            <w:tcW w:type="dxa" w:w="3120"/>
          </w:tcPr>
          <w:p>
            <w:r>
              <w:rPr>
                <w:rFonts w:ascii="Times New Roman" w:hAnsi="Times New Roman"/>
                <w:sz w:val="20"/>
              </w:rPr>
              <w:t>A matched record or DOI/PubMed route exists, but no free route was located in this pass; do not bypass access controls.</w:t>
            </w:r>
          </w:p>
        </w:tc>
      </w:tr>
      <w:tr>
        <w:tc>
          <w:tcPr>
            <w:tcW w:type="dxa" w:w="3120"/>
          </w:tcPr>
          <w:p>
            <w:r>
              <w:rPr>
                <w:rFonts w:ascii="Times New Roman" w:hAnsi="Times New Roman"/>
                <w:sz w:val="20"/>
              </w:rPr>
              <w:t>Identifier unresolved or missing</w:t>
            </w:r>
          </w:p>
        </w:tc>
        <w:tc>
          <w:tcPr>
            <w:tcW w:type="dxa" w:w="3120"/>
          </w:tcPr>
          <w:p>
            <w:r>
              <w:rPr>
                <w:rFonts w:ascii="Times New Roman" w:hAnsi="Times New Roman"/>
                <w:sz w:val="20"/>
              </w:rPr>
              <w:t>165</w:t>
            </w:r>
          </w:p>
        </w:tc>
        <w:tc>
          <w:tcPr>
            <w:tcW w:type="dxa" w:w="3120"/>
          </w:tcPr>
          <w:p>
            <w:r>
              <w:rPr>
                <w:rFonts w:ascii="Times New Roman" w:hAnsi="Times New Roman"/>
                <w:sz w:val="20"/>
              </w:rPr>
              <w:t>No reliable matched route was resolved from the stored PMID/DOI fields; title-based legitimate retrieval is next.</w:t>
            </w:r>
          </w:p>
        </w:tc>
      </w:tr>
      <w:tr>
        <w:tc>
          <w:tcPr>
            <w:tcW w:type="dxa" w:w="3120"/>
          </w:tcPr>
          <w:p>
            <w:r>
              <w:rPr>
                <w:rFonts w:ascii="Times New Roman" w:hAnsi="Times New Roman"/>
                <w:sz w:val="20"/>
              </w:rPr>
              <w:t>Total provisional candidates</w:t>
            </w:r>
          </w:p>
        </w:tc>
        <w:tc>
          <w:tcPr>
            <w:tcW w:type="dxa" w:w="3120"/>
          </w:tcPr>
          <w:p>
            <w:r>
              <w:rPr>
                <w:rFonts w:ascii="Times New Roman" w:hAnsi="Times New Roman"/>
                <w:sz w:val="20"/>
              </w:rPr>
              <w:t>296</w:t>
            </w:r>
          </w:p>
        </w:tc>
        <w:tc>
          <w:tcPr>
            <w:tcW w:type="dxa" w:w="3120"/>
          </w:tcPr>
          <w:p>
            <w:r>
              <w:rPr>
                <w:rFonts w:ascii="Times New Roman" w:hAnsi="Times New Roman"/>
                <w:sz w:val="20"/>
              </w:rPr>
              <w:t>All remain provisional; no final full-text inclusion/exclusion decision has been assigned.</w:t>
            </w:r>
          </w:p>
        </w:tc>
      </w:tr>
    </w:tbl>
    <w:p>
      <w:pPr>
        <w:pStyle w:val="Heading2"/>
      </w:pPr>
      <w:r>
        <w:rPr>
          <w:rFonts w:ascii="Times New Roman" w:hAnsi="Times New Roman"/>
          <w:sz w:val="22"/>
        </w:rPr>
        <w:t>B23. Gate D full-text eligibility pilot</w:t>
      </w:r>
    </w:p>
    <w:p>
      <w:r>
        <w:rPr>
          <w:rFonts w:ascii="Times New Roman" w:hAnsi="Times New Roman"/>
          <w:sz w:val="22"/>
        </w:rPr>
        <w:t>Two accessible full texts from the retrieval pilot were independently assessed by R1 and R2 and concordantly excluded. CAN-0258 was excluded for no Nigeria study data; CAN-0269 was excluded as a narrative review without primary Nigeria evidence. The two fixed exclusions reduce the unresolved full-text queue from 296 to 294; no included study is claimed.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sz w:val="20"/>
              </w:rPr>
              <w:t>Candidate</w:t>
            </w:r>
          </w:p>
        </w:tc>
        <w:tc>
          <w:tcPr>
            <w:tcW w:type="dxa" w:w="2340"/>
          </w:tcPr>
          <w:p>
            <w:r>
              <w:rPr>
                <w:rFonts w:ascii="Times New Roman" w:hAnsi="Times New Roman"/>
                <w:sz w:val="20"/>
              </w:rPr>
              <w:t>R1/R2 result</w:t>
            </w:r>
          </w:p>
        </w:tc>
        <w:tc>
          <w:tcPr>
            <w:tcW w:type="dxa" w:w="2340"/>
          </w:tcPr>
          <w:p>
            <w:r>
              <w:rPr>
                <w:rFonts w:ascii="Times New Roman" w:hAnsi="Times New Roman"/>
                <w:sz w:val="20"/>
              </w:rPr>
              <w:t>Fixed reason</w:t>
            </w:r>
          </w:p>
        </w:tc>
        <w:tc>
          <w:tcPr>
            <w:tcW w:type="dxa" w:w="2340"/>
          </w:tcPr>
          <w:p>
            <w:r>
              <w:rPr>
                <w:rFonts w:ascii="Times New Roman" w:hAnsi="Times New Roman"/>
                <w:sz w:val="20"/>
              </w:rPr>
              <w:t>Evidence route</w:t>
            </w:r>
          </w:p>
        </w:tc>
      </w:tr>
      <w:tr>
        <w:tc>
          <w:tcPr>
            <w:tcW w:type="dxa" w:w="2340"/>
          </w:tcPr>
          <w:p>
            <w:r>
              <w:rPr>
                <w:rFonts w:ascii="Times New Roman" w:hAnsi="Times New Roman"/>
                <w:sz w:val="20"/>
              </w:rPr>
              <w:t>CAN-0258</w:t>
            </w:r>
          </w:p>
        </w:tc>
        <w:tc>
          <w:tcPr>
            <w:tcW w:type="dxa" w:w="2340"/>
          </w:tcPr>
          <w:p>
            <w:r>
              <w:rPr>
                <w:rFonts w:ascii="Times New Roman" w:hAnsi="Times New Roman"/>
                <w:sz w:val="20"/>
              </w:rPr>
              <w:t>Concordant exclude</w:t>
            </w:r>
          </w:p>
        </w:tc>
        <w:tc>
          <w:tcPr>
            <w:tcW w:type="dxa" w:w="2340"/>
          </w:tcPr>
          <w:p>
            <w:r>
              <w:rPr>
                <w:rFonts w:ascii="Times New Roman" w:hAnsi="Times New Roman"/>
                <w:sz w:val="20"/>
              </w:rPr>
              <w:t>NO_NIGERIA_STUDY_DATA</w:t>
            </w:r>
          </w:p>
        </w:tc>
        <w:tc>
          <w:tcPr>
            <w:tcW w:type="dxa" w:w="2340"/>
          </w:tcPr>
          <w:p>
            <w:r>
              <w:rPr>
                <w:rFonts w:ascii="Times New Roman" w:hAnsi="Times New Roman"/>
                <w:sz w:val="20"/>
              </w:rPr>
              <w:t>PMC9582791; PubMed 36252504</w:t>
            </w:r>
          </w:p>
        </w:tc>
      </w:tr>
      <w:tr>
        <w:tc>
          <w:tcPr>
            <w:tcW w:type="dxa" w:w="2340"/>
          </w:tcPr>
          <w:p>
            <w:r>
              <w:rPr>
                <w:rFonts w:ascii="Times New Roman" w:hAnsi="Times New Roman"/>
                <w:sz w:val="20"/>
              </w:rPr>
              <w:t>CAN-0269</w:t>
            </w:r>
          </w:p>
        </w:tc>
        <w:tc>
          <w:tcPr>
            <w:tcW w:type="dxa" w:w="2340"/>
          </w:tcPr>
          <w:p>
            <w:r>
              <w:rPr>
                <w:rFonts w:ascii="Times New Roman" w:hAnsi="Times New Roman"/>
                <w:sz w:val="20"/>
              </w:rPr>
              <w:t>Concordant exclude</w:t>
            </w:r>
          </w:p>
        </w:tc>
        <w:tc>
          <w:tcPr>
            <w:tcW w:type="dxa" w:w="2340"/>
          </w:tcPr>
          <w:p>
            <w:r>
              <w:rPr>
                <w:rFonts w:ascii="Times New Roman" w:hAnsi="Times New Roman"/>
                <w:sz w:val="20"/>
              </w:rPr>
              <w:t>NOT_PRIMARY_RESEARCH</w:t>
            </w:r>
          </w:p>
        </w:tc>
        <w:tc>
          <w:tcPr>
            <w:tcW w:type="dxa" w:w="2340"/>
          </w:tcPr>
          <w:p>
            <w:r>
              <w:rPr>
                <w:rFonts w:ascii="Times New Roman" w:hAnsi="Times New Roman"/>
                <w:sz w:val="20"/>
              </w:rPr>
              <w:t>Accessible institutional PDF; ScienceDirect record</w:t>
            </w:r>
          </w:p>
        </w:tc>
      </w:tr>
      <w:tr>
        <w:tc>
          <w:tcPr>
            <w:tcW w:type="dxa" w:w="2340"/>
          </w:tcPr>
          <w:p>
            <w:r>
              <w:rPr>
                <w:rFonts w:ascii="Times New Roman" w:hAnsi="Times New Roman"/>
                <w:sz w:val="20"/>
              </w:rPr>
              <w:t>Queue after pilot</w:t>
            </w:r>
          </w:p>
        </w:tc>
        <w:tc>
          <w:tcPr>
            <w:tcW w:type="dxa" w:w="2340"/>
          </w:tcPr>
          <w:p>
            <w:r>
              <w:rPr>
                <w:rFonts w:ascii="Times New Roman" w:hAnsi="Times New Roman"/>
                <w:sz w:val="20"/>
              </w:rPr>
              <w:t>294 pending</w:t>
            </w:r>
          </w:p>
        </w:tc>
        <w:tc>
          <w:tcPr>
            <w:tcW w:type="dxa" w:w="2340"/>
          </w:tcPr>
          <w:p>
            <w:r>
              <w:rPr>
                <w:rFonts w:ascii="Times New Roman" w:hAnsi="Times New Roman"/>
                <w:sz w:val="20"/>
              </w:rPr>
              <w:t>No included study count</w:t>
            </w:r>
          </w:p>
        </w:tc>
        <w:tc>
          <w:tcPr>
            <w:tcW w:type="dxa" w:w="2340"/>
          </w:tcPr>
          <w:p>
            <w:r>
              <w:rPr>
                <w:rFonts w:ascii="Times New Roman" w:hAnsi="Times New Roman"/>
                <w:sz w:val="20"/>
              </w:rPr>
              <w:t>Full-text eligibility, linkage and extraction remain pending</w:t>
            </w:r>
          </w:p>
        </w:tc>
      </w:tr>
    </w:tbl>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