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rPr>
          <w:rFonts w:ascii="Times New Roman" w:hAnsi="Times New Roman"/>
          <w:sz w:val="22"/>
        </w:rP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20 September 2026. Results status: 2,367 source rows had been reconciled into 1,877 provisional identities; the full unique register has now received an aggregate title/metadata screen, yielding 1,582 clear exclusions and 295 provisional full-text candidates. The exact retained-ID queue still requires reconstruction from the batch-level audit trail.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rPr>
          <w:rFonts w:ascii="Times New Roman" w:hAnsi="Times New Roman"/>
          <w:sz w:val="22"/>
        </w:rPr>
        <w:t>STATUS NOTE - 23 September 2026: Gate C is closed at the unique-register denominator level after the true uncovered range CAN-0341-CAN-0380 was screened. The earlier B19 pass on CAN-0241-CAN-0280 was a duplicate-range audit/retrieval pilot and is not counted as 40 new identities. The B20 pass screened CAN-0341-CAN-0380: R1 retained 4 and excluded 36; R2 retained 4 and excluded 36; one two-record decision swap was adjudicated conservatively as CAN-0344, CAN-0356, CAN-0359 and CAN-0379 retained, with CAN-0345 excluded after source verification. The unique-register aggregate is therefore 1,877 screened, 1,582 clear exclusions and 295 provisional full-text candidates. The batch-level exact retained-ID queue for earlier batches still requires reconstruction before full-text retrieval can be called auditable. Gates D-J remain incomplete; no final included-study count, PRISMA flow, extraction, risk-of-bias, certainty or SWiM synthesis is claimed.</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rPr>
          <w:rFonts w:ascii="Times New Roman" w:hAnsi="Times New Roman"/>
          <w:sz w:val="22"/>
        </w:rPr>
        <w:t>Records were reconciled using symmetric DOI, PMID, or exact normalised title-plus-year matching. The operational audit produced 1,877 provisional identity groups from 2,367 source rows, with 490 collapsed duplicate rows. The controlled unique title/metadata-screening denominator is therefore 1,877. R1 and R2 independently screened and adjudicated the 40-record pilot, B1-B18 and the true B20 gap CAN-0341-CAN-0380. The earlier B19 pass on CAN-0241-CAN-0280 is retained as a duplicate-range retrieval/extraction pilot only and contributes no new screening identities. B20 had 4 retained and 36 excluded after one two-record decision swap was adjudicated conservatively. Across the unique register, the aggregate status is 1,877 screened, 1,582 clear exclusions and 295 provisional full-text candidates. This aggregate denominator is not yet an auditable retained-ID queue because the exact record-level adjudication lists for earlier batches must still be reconstructed.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rPr>
          <w:rFonts w:ascii="Times New Roman" w:hAnsi="Times New Roman"/>
          <w:sz w:val="22"/>
        </w:rPr>
        <w:t>The evidence synthesis is not complete. Gate C is closed only at the unique-register coverage level: 1,877 records have an aggregate title/metadata disposition, but the exact retained-ID queue for earlier batches remains to be reconstructed from the screening audit before full-text retrieval is treated as auditable. Gates D-J have not been completed. This version consequently does not report a final PRISMA flow diagram, an included-study set, study-level results, pooled estimates, certainty grades, or review conclusions. Such outputs require retained-ID reconciliation, full-text assessment, extraction, appraisal, synthesis and final reporting audit.</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rPr>
          <w:rFonts w:ascii="Times New Roman" w:hAnsi="Times New Roman"/>
          <w:sz w:val="22"/>
        </w:rPr>
        <w:t>Operational snapshot: 23 September 2026. This appendix records the evidence boundary and search/record-management status for this submission-stage document, including the corrected B20 gap closure and the duplicate-range B19 retrieval pilot.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17"/>
              </w:rPr>
              <w:t>Source and date</w:t>
            </w:r>
          </w:p>
        </w:tc>
        <w:tc>
          <w:tcPr>
            <w:tcW w:type="dxa" w:w="4680"/>
            <w:vAlign w:val="center"/>
            <w:shd w:fill="D9E2F3"/>
          </w:tcPr>
          <w:p>
            <w:pPr>
              <w:spacing w:after="0"/>
            </w:pPr>
            <w:r>
              <w:rPr>
                <w:rFonts w:ascii="Times New Roman" w:hAnsi="Times New Roman"/>
                <w:b/>
                <w:sz w:val="17"/>
              </w:rPr>
              <w:t>Documented search record</w:t>
            </w:r>
          </w:p>
        </w:tc>
        <w:tc>
          <w:tcPr>
            <w:tcW w:type="dxa" w:w="1296"/>
            <w:vAlign w:val="center"/>
            <w:shd w:fill="D9E2F3"/>
          </w:tcPr>
          <w:p>
            <w:pPr>
              <w:spacing w:after="0"/>
            </w:pPr>
            <w:r>
              <w:rPr>
                <w:rFonts w:ascii="Times New Roman" w:hAnsi="Times New Roman"/>
                <w:b/>
                <w:sz w:val="17"/>
              </w:rPr>
              <w:t>Count</w:t>
            </w:r>
          </w:p>
        </w:tc>
        <w:tc>
          <w:tcPr>
            <w:tcW w:type="dxa" w:w="2448"/>
            <w:vAlign w:val="center"/>
            <w:shd w:fill="D9E2F3"/>
          </w:tcPr>
          <w:p>
            <w:pPr>
              <w:spacing w:after="0"/>
            </w:pPr>
            <w:r>
              <w:rPr>
                <w:rFonts w:ascii="Times New Roman" w:hAnsi="Times New Roman"/>
                <w:b/>
                <w:sz w:val="17"/>
              </w:rPr>
              <w:t>Reproducibility status / missing field</w:t>
            </w:r>
          </w:p>
        </w:tc>
      </w:tr>
      <w:tr>
        <w:tc>
          <w:tcPr>
            <w:tcW w:type="dxa" w:w="1656"/>
            <w:vAlign w:val="top"/>
          </w:tcPr>
          <w:p>
            <w:pPr>
              <w:spacing w:after="0"/>
            </w:pPr>
            <w:r>
              <w:rPr>
                <w:rFonts w:ascii="Times New Roman" w:hAnsi="Times New Roman"/>
                <w:sz w:val="17"/>
              </w:rPr>
              <w:t>PubMed/MEDLINE; 16 Sep 2026</w:t>
            </w:r>
          </w:p>
        </w:tc>
        <w:tc>
          <w:tcPr>
            <w:tcW w:type="dxa" w:w="4680"/>
            <w:vAlign w:val="top"/>
          </w:tcPr>
          <w:p>
            <w:pPr>
              <w:spacing w:after="0"/>
            </w:pPr>
            <w:r>
              <w:rPr>
                <w:rFonts w:ascii="Times New Roman" w:hAnsi="Times New Roman"/>
                <w:sz w:val="17"/>
              </w:rPr>
              <w:t>Full v3 base and molecular facet documented below; date limit 2006/01/01–2026/09/30.</w:t>
            </w:r>
          </w:p>
        </w:tc>
        <w:tc>
          <w:tcPr>
            <w:tcW w:type="dxa" w:w="1296"/>
            <w:vAlign w:val="top"/>
          </w:tcPr>
          <w:p>
            <w:pPr>
              <w:spacing w:after="0"/>
            </w:pPr>
            <w:r>
              <w:rPr>
                <w:rFonts w:ascii="Times New Roman" w:hAnsi="Times New Roman"/>
                <w:sz w:val="17"/>
              </w:rPr>
              <w:t>140 base; 53 molecular</w:t>
            </w:r>
          </w:p>
        </w:tc>
        <w:tc>
          <w:tcPr>
            <w:tcW w:type="dxa" w:w="2448"/>
            <w:vAlign w:val="top"/>
          </w:tcPr>
          <w:p>
            <w:pPr>
              <w:spacing w:after="0"/>
            </w:pPr>
            <w:r>
              <w:rPr>
                <w:rFonts w:ascii="Times New Roman" w:hAnsi="Times New Roman"/>
                <w:sz w:val="17"/>
              </w:rPr>
              <w:t>Executed strings retained; English filter is not encoded in the v3 script record.</w:t>
            </w:r>
          </w:p>
        </w:tc>
      </w:tr>
      <w:tr>
        <w:tc>
          <w:tcPr>
            <w:tcW w:type="dxa" w:w="1656"/>
            <w:vAlign w:val="top"/>
          </w:tcPr>
          <w:p>
            <w:pPr>
              <w:spacing w:after="0"/>
            </w:pPr>
            <w:r>
              <w:rPr>
                <w:rFonts w:ascii="Times New Roman" w:hAnsi="Times New Roman"/>
                <w:sz w:val="17"/>
              </w:rPr>
              <w:t>Scopus; 16 Sep 2026</w:t>
            </w:r>
          </w:p>
        </w:tc>
        <w:tc>
          <w:tcPr>
            <w:tcW w:type="dxa" w:w="4680"/>
            <w:vAlign w:val="top"/>
          </w:tcPr>
          <w:p>
            <w:pPr>
              <w:spacing w:after="0"/>
            </w:pPr>
            <w:r>
              <w:rPr>
                <w:rFonts w:ascii="Times New Roman" w:hAnsi="Times New Roman"/>
                <w:sz w:val="17"/>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17"/>
              </w:rPr>
              <w:t>204</w:t>
            </w:r>
          </w:p>
        </w:tc>
        <w:tc>
          <w:tcPr>
            <w:tcW w:type="dxa" w:w="2448"/>
            <w:vAlign w:val="top"/>
          </w:tcPr>
          <w:p>
            <w:pPr>
              <w:spacing w:after="0"/>
            </w:pPr>
            <w:r>
              <w:rPr>
                <w:rFonts w:ascii="Times New Roman" w:hAnsi="Times New Roman"/>
                <w:sz w:val="17"/>
              </w:rPr>
              <w:t>Base syntax documented; facet lines, interface settings and export configuration are incomplete.</w:t>
            </w:r>
          </w:p>
        </w:tc>
      </w:tr>
      <w:tr>
        <w:tc>
          <w:tcPr>
            <w:tcW w:type="dxa" w:w="1656"/>
            <w:vAlign w:val="top"/>
          </w:tcPr>
          <w:p>
            <w:pPr>
              <w:spacing w:after="0"/>
            </w:pPr>
            <w:r>
              <w:rPr>
                <w:rFonts w:ascii="Times New Roman" w:hAnsi="Times New Roman"/>
                <w:sz w:val="17"/>
              </w:rPr>
              <w:t>WoS API; 19 Sep 2026</w:t>
            </w:r>
          </w:p>
        </w:tc>
        <w:tc>
          <w:tcPr>
            <w:tcW w:type="dxa" w:w="4680"/>
            <w:vAlign w:val="top"/>
          </w:tcPr>
          <w:p>
            <w:pPr>
              <w:spacing w:after="0"/>
            </w:pPr>
            <w:r>
              <w:rPr>
                <w:rFonts w:ascii="Times New Roman" w:hAnsi="Times New Roman"/>
                <w:sz w:val="17"/>
              </w:rPr>
              <w:t>TS=("avian influenza" OR AIV OR HPAI OR LPAI OR H5N1 OR H9N2) AND TS=(Nigeria OR Nigerian) AND PY=(2006-2026).</w:t>
            </w:r>
          </w:p>
        </w:tc>
        <w:tc>
          <w:tcPr>
            <w:tcW w:type="dxa" w:w="1296"/>
            <w:vAlign w:val="top"/>
          </w:tcPr>
          <w:p>
            <w:pPr>
              <w:spacing w:after="0"/>
            </w:pPr>
            <w:r>
              <w:rPr>
                <w:rFonts w:ascii="Times New Roman" w:hAnsi="Times New Roman"/>
                <w:sz w:val="17"/>
              </w:rPr>
              <w:t>175 unique UIDs</w:t>
            </w:r>
          </w:p>
        </w:tc>
        <w:tc>
          <w:tcPr>
            <w:tcW w:type="dxa" w:w="2448"/>
            <w:vAlign w:val="top"/>
          </w:tcPr>
          <w:p>
            <w:pPr>
              <w:spacing w:after="0"/>
            </w:pPr>
            <w:r>
              <w:rPr>
                <w:rFonts w:ascii="Times New Roman" w:hAnsi="Times New Roman"/>
                <w:sz w:val="17"/>
              </w:rPr>
              <w:t>Imported API layer; no English filter recorded.</w:t>
            </w:r>
          </w:p>
        </w:tc>
      </w:tr>
      <w:tr>
        <w:tc>
          <w:tcPr>
            <w:tcW w:type="dxa" w:w="1656"/>
            <w:vAlign w:val="top"/>
          </w:tcPr>
          <w:p>
            <w:pPr>
              <w:spacing w:after="0"/>
            </w:pPr>
            <w:r>
              <w:rPr>
                <w:rFonts w:ascii="Times New Roman" w:hAnsi="Times New Roman"/>
                <w:sz w:val="17"/>
              </w:rPr>
              <w:t>WoS Core Collection; 20 Sep 2026</w:t>
            </w:r>
          </w:p>
        </w:tc>
        <w:tc>
          <w:tcPr>
            <w:tcW w:type="dxa" w:w="4680"/>
            <w:vAlign w:val="top"/>
          </w:tcPr>
          <w:p>
            <w:pPr>
              <w:spacing w:after="0"/>
            </w:pPr>
            <w:r>
              <w:rPr>
                <w:rFonts w:ascii="Times New Roman" w:hAnsi="Times New Roman"/>
                <w:sz w:val="17"/>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17"/>
              </w:rPr>
              <w:t>206 base; 77 molecular; 154 epidemiology; 70 host</w:t>
            </w:r>
          </w:p>
        </w:tc>
        <w:tc>
          <w:tcPr>
            <w:tcW w:type="dxa" w:w="2448"/>
            <w:vAlign w:val="top"/>
          </w:tcPr>
          <w:p>
            <w:pPr>
              <w:spacing w:after="0"/>
            </w:pPr>
            <w:r>
              <w:rPr>
                <w:rFonts w:ascii="Times New Roman" w:hAnsi="Times New Roman"/>
                <w:sz w:val="17"/>
              </w:rPr>
              <w:t>Displayed counts only; no reliable complete record export. Do not add to the 175 UIDs.</w:t>
            </w:r>
          </w:p>
        </w:tc>
      </w:tr>
      <w:tr>
        <w:tc>
          <w:tcPr>
            <w:tcW w:type="dxa" w:w="1656"/>
            <w:vAlign w:val="top"/>
          </w:tcPr>
          <w:p>
            <w:pPr>
              <w:spacing w:after="0"/>
            </w:pPr>
            <w:r>
              <w:rPr>
                <w:rFonts w:ascii="Times New Roman" w:hAnsi="Times New Roman"/>
                <w:sz w:val="17"/>
              </w:rPr>
              <w:t>ScienceDirect; 16 Sep 2026</w:t>
            </w:r>
          </w:p>
        </w:tc>
        <w:tc>
          <w:tcPr>
            <w:tcW w:type="dxa" w:w="4680"/>
            <w:vAlign w:val="top"/>
          </w:tcPr>
          <w:p>
            <w:pPr>
              <w:spacing w:after="0"/>
            </w:pPr>
            <w:r>
              <w:rPr>
                <w:rFonts w:ascii="Times New Roman" w:hAnsi="Times New Roman"/>
                <w:sz w:val="17"/>
              </w:rPr>
              <w:t>Abbreviated record only: Scopus-derived title/abstract/key-word variant, 2006–2026.</w:t>
            </w:r>
          </w:p>
        </w:tc>
        <w:tc>
          <w:tcPr>
            <w:tcW w:type="dxa" w:w="1296"/>
            <w:vAlign w:val="top"/>
          </w:tcPr>
          <w:p>
            <w:pPr>
              <w:spacing w:after="0"/>
            </w:pPr>
            <w:r>
              <w:rPr>
                <w:rFonts w:ascii="Times New Roman" w:hAnsi="Times New Roman"/>
                <w:sz w:val="17"/>
              </w:rPr>
              <w:t>25 displayed/exported</w:t>
            </w:r>
          </w:p>
        </w:tc>
        <w:tc>
          <w:tcPr>
            <w:tcW w:type="dxa" w:w="2448"/>
            <w:vAlign w:val="top"/>
          </w:tcPr>
          <w:p>
            <w:pPr>
              <w:spacing w:after="0"/>
            </w:pPr>
            <w:r>
              <w:rPr>
                <w:rFonts w:ascii="Times New Roman" w:hAnsi="Times New Roman"/>
                <w:sz w:val="17"/>
              </w:rPr>
              <w:t>Exact as-run string, filters, cap and platform configuration are not documented.</w:t>
            </w:r>
          </w:p>
        </w:tc>
      </w:tr>
      <w:tr>
        <w:tc>
          <w:tcPr>
            <w:tcW w:type="dxa" w:w="1656"/>
            <w:vAlign w:val="top"/>
          </w:tcPr>
          <w:p>
            <w:pPr>
              <w:spacing w:after="0"/>
            </w:pPr>
            <w:r>
              <w:rPr>
                <w:rFonts w:ascii="Times New Roman" w:hAnsi="Times New Roman"/>
                <w:sz w:val="17"/>
              </w:rPr>
              <w:t>Google Scholar; 17 Sep 2026</w:t>
            </w:r>
          </w:p>
        </w:tc>
        <w:tc>
          <w:tcPr>
            <w:tcW w:type="dxa" w:w="4680"/>
            <w:vAlign w:val="top"/>
          </w:tcPr>
          <w:p>
            <w:pPr>
              <w:spacing w:after="0"/>
            </w:pPr>
            <w:r>
              <w:rPr>
                <w:rFonts w:ascii="Times New Roman" w:hAnsi="Times New Roman"/>
                <w:sz w:val="17"/>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17"/>
              </w:rPr>
              <w:t>140 retrieved; 99 unique</w:t>
            </w:r>
          </w:p>
        </w:tc>
        <w:tc>
          <w:tcPr>
            <w:tcW w:type="dxa" w:w="2448"/>
            <w:vAlign w:val="top"/>
          </w:tcPr>
          <w:p>
            <w:pPr>
              <w:spacing w:after="0"/>
            </w:pPr>
            <w:r>
              <w:rPr>
                <w:rFonts w:ascii="Times New Roman" w:hAnsi="Times New Roman"/>
                <w:sz w:val="17"/>
              </w:rPr>
              <w:t>Supplementary only; no persistent export. Not a primary PRISMA identification layer.</w:t>
            </w:r>
          </w:p>
        </w:tc>
      </w:tr>
      <w:tr>
        <w:tc>
          <w:tcPr>
            <w:tcW w:type="dxa" w:w="1656"/>
            <w:vAlign w:val="top"/>
          </w:tcPr>
          <w:p>
            <w:pPr>
              <w:spacing w:after="0"/>
            </w:pPr>
            <w:r>
              <w:rPr>
                <w:rFonts w:ascii="Times New Roman" w:hAnsi="Times New Roman"/>
                <w:sz w:val="17"/>
              </w:rPr>
              <w:t>AJOL; 20 Sep 2026</w:t>
            </w:r>
          </w:p>
        </w:tc>
        <w:tc>
          <w:tcPr>
            <w:tcW w:type="dxa" w:w="4680"/>
            <w:vAlign w:val="top"/>
          </w:tcPr>
          <w:p>
            <w:pPr>
              <w:spacing w:after="0"/>
            </w:pPr>
            <w:r>
              <w:rPr>
                <w:rFonts w:ascii="Times New Roman" w:hAnsi="Times New Roman"/>
                <w:sz w:val="17"/>
              </w:rPr>
              <w:t>Nine exact mandatory-term queries are listed below.</w:t>
            </w:r>
          </w:p>
        </w:tc>
        <w:tc>
          <w:tcPr>
            <w:tcW w:type="dxa" w:w="1296"/>
            <w:vAlign w:val="top"/>
          </w:tcPr>
          <w:p>
            <w:pPr>
              <w:spacing w:after="0"/>
            </w:pPr>
            <w:r>
              <w:rPr>
                <w:rFonts w:ascii="Times New Roman" w:hAnsi="Times New Roman"/>
                <w:sz w:val="17"/>
              </w:rPr>
              <w:t>144 query rows; 79 unique URLs; 73 in-window</w:t>
            </w:r>
          </w:p>
        </w:tc>
        <w:tc>
          <w:tcPr>
            <w:tcW w:type="dxa" w:w="2448"/>
            <w:vAlign w:val="top"/>
          </w:tcPr>
          <w:p>
            <w:pPr>
              <w:spacing w:after="0"/>
            </w:pPr>
            <w:r>
              <w:rPr>
                <w:rFonts w:ascii="Times New Roman" w:hAnsi="Times New Roman"/>
                <w:sz w:val="17"/>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rPr>
          <w:rFonts w:ascii="Times New Roman" w:hAnsi="Times New Roman"/>
          <w:sz w:val="22"/>
        </w:rPr>
        <w:t>The canonical register reports 2,367 source rows, 1,877 provisional identity groups and 490 collapsed duplicate rows. The controlled unique title/metadata-screening denominator is 1,877. The pilot, B1-B18 and B20 were screened through the dual-review workflow; B19 was a duplicate-range audit on CAN-0241-CAN-0280 and is not additive. The resulting aggregate status is 1,877 screened, 1,582 clear exclusions and 295 provisional full-text candidates. These outcomes do not finalise study inclusion or PRISMA counts. The exact retained-ID queue for earlier batches still requires reconstruction;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17"/>
              </w:rPr>
              <w:t>Gate</w:t>
            </w:r>
          </w:p>
        </w:tc>
        <w:tc>
          <w:tcPr>
            <w:tcW w:type="dxa" w:w="4032"/>
            <w:vAlign w:val="center"/>
            <w:shd w:fill="D9E2F3"/>
          </w:tcPr>
          <w:p>
            <w:pPr>
              <w:spacing w:after="0"/>
            </w:pPr>
            <w:r>
              <w:rPr>
                <w:rFonts w:ascii="Times New Roman" w:hAnsi="Times New Roman"/>
                <w:b/>
                <w:sz w:val="17"/>
              </w:rPr>
              <w:t>Required stage</w:t>
            </w:r>
          </w:p>
        </w:tc>
        <w:tc>
          <w:tcPr>
            <w:tcW w:type="dxa" w:w="5256"/>
            <w:vAlign w:val="center"/>
            <w:shd w:fill="D9E2F3"/>
          </w:tcPr>
          <w:p>
            <w:pPr>
              <w:spacing w:after="0"/>
            </w:pPr>
            <w:r>
              <w:rPr>
                <w:rFonts w:ascii="Times New Roman" w:hAnsi="Times New Roman"/>
                <w:b/>
                <w:sz w:val="17"/>
              </w:rPr>
              <w:t>Status at 20 Sep 2026</w:t>
            </w:r>
          </w:p>
        </w:tc>
      </w:tr>
      <w:tr>
        <w:tc>
          <w:tcPr>
            <w:tcW w:type="dxa" w:w="792"/>
            <w:vAlign w:val="top"/>
          </w:tcPr>
          <w:p>
            <w:pPr>
              <w:spacing w:after="0"/>
            </w:pPr>
            <w:r>
              <w:rPr>
                <w:rFonts w:ascii="Times New Roman" w:hAnsi="Times New Roman"/>
                <w:sz w:val="17"/>
              </w:rPr>
              <w:t>C</w:t>
            </w:r>
          </w:p>
        </w:tc>
        <w:tc>
          <w:tcPr>
            <w:tcW w:type="dxa" w:w="4032"/>
            <w:vAlign w:val="top"/>
          </w:tcPr>
          <w:p>
            <w:pPr>
              <w:spacing w:after="0"/>
            </w:pPr>
            <w:r>
              <w:rPr>
                <w:rFonts w:ascii="Times New Roman" w:hAnsi="Times New Roman"/>
                <w:sz w:val="17"/>
              </w:rPr>
              <w:t>Screening reconciliation</w:t>
            </w:r>
          </w:p>
        </w:tc>
        <w:tc>
          <w:tcPr>
            <w:tcW w:type="dxa" w:w="5256"/>
            <w:vAlign w:val="top"/>
          </w:tcPr>
          <w:p>
            <w:r>
              <w:rPr>
                <w:rFonts w:ascii="Times New Roman" w:hAnsi="Times New Roman"/>
                <w:sz w:val="20"/>
              </w:rPr>
              <w:t>Closed at unique-register coverage level but retained-ID audit remains open - 1,877 unique records screened in aggregate: 1,582 clear exclusions and 295 provisional full-text candidates. The B19 duplicate-range pilot is non-additive; exact retained IDs from earlier batches still require reconstruction.</w:t>
            </w:r>
          </w:p>
        </w:tc>
      </w:tr>
      <w:tr>
        <w:tc>
          <w:tcPr>
            <w:tcW w:type="dxa" w:w="792"/>
            <w:vAlign w:val="top"/>
          </w:tcPr>
          <w:p>
            <w:pPr>
              <w:spacing w:after="0"/>
            </w:pPr>
            <w:r>
              <w:rPr>
                <w:rFonts w:ascii="Times New Roman" w:hAnsi="Times New Roman"/>
                <w:sz w:val="17"/>
              </w:rPr>
              <w:t>D</w:t>
            </w:r>
          </w:p>
        </w:tc>
        <w:tc>
          <w:tcPr>
            <w:tcW w:type="dxa" w:w="4032"/>
            <w:vAlign w:val="top"/>
          </w:tcPr>
          <w:p>
            <w:pPr>
              <w:spacing w:after="0"/>
            </w:pPr>
            <w:r>
              <w:rPr>
                <w:rFonts w:ascii="Times New Roman" w:hAnsi="Times New Roman"/>
                <w:sz w:val="17"/>
              </w:rPr>
              <w:t>Full-text eligibility</w:t>
            </w:r>
          </w:p>
        </w:tc>
        <w:tc>
          <w:tcPr>
            <w:tcW w:type="dxa" w:w="5256"/>
            <w:vAlign w:val="top"/>
          </w:tcPr>
          <w:p>
            <w:r>
              <w:rPr>
                <w:rFonts w:ascii="Times New Roman" w:hAnsi="Times New Roman"/>
                <w:sz w:val="20"/>
              </w:rPr>
              <w:t>Pending - 295 provisional candidates await full-text assessment after the retained-ID queue is reconstructed; no final eligibility decisions.</w:t>
            </w:r>
          </w:p>
        </w:tc>
      </w:tr>
      <w:tr>
        <w:tc>
          <w:tcPr>
            <w:tcW w:type="dxa" w:w="792"/>
            <w:vAlign w:val="top"/>
          </w:tcPr>
          <w:p>
            <w:pPr>
              <w:spacing w:after="0"/>
            </w:pPr>
            <w:r>
              <w:rPr>
                <w:rFonts w:ascii="Times New Roman" w:hAnsi="Times New Roman"/>
                <w:sz w:val="17"/>
              </w:rPr>
              <w:t>E</w:t>
            </w:r>
          </w:p>
        </w:tc>
        <w:tc>
          <w:tcPr>
            <w:tcW w:type="dxa" w:w="4032"/>
            <w:vAlign w:val="top"/>
          </w:tcPr>
          <w:p>
            <w:pPr>
              <w:spacing w:after="0"/>
            </w:pPr>
            <w:r>
              <w:rPr>
                <w:rFonts w:ascii="Times New Roman" w:hAnsi="Times New Roman"/>
                <w:sz w:val="17"/>
              </w:rPr>
              <w:t>Extraction pilot</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F</w:t>
            </w:r>
          </w:p>
        </w:tc>
        <w:tc>
          <w:tcPr>
            <w:tcW w:type="dxa" w:w="4032"/>
            <w:vAlign w:val="top"/>
          </w:tcPr>
          <w:p>
            <w:pPr>
              <w:spacing w:after="0"/>
            </w:pPr>
            <w:r>
              <w:rPr>
                <w:rFonts w:ascii="Times New Roman" w:hAnsi="Times New Roman"/>
                <w:sz w:val="17"/>
              </w:rPr>
              <w:t>Full extraction and evidence tables</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G</w:t>
            </w:r>
          </w:p>
        </w:tc>
        <w:tc>
          <w:tcPr>
            <w:tcW w:type="dxa" w:w="4032"/>
            <w:vAlign w:val="top"/>
          </w:tcPr>
          <w:p>
            <w:pPr>
              <w:spacing w:after="0"/>
            </w:pPr>
            <w:r>
              <w:rPr>
                <w:rFonts w:ascii="Times New Roman" w:hAnsi="Times New Roman"/>
                <w:sz w:val="17"/>
              </w:rPr>
              <w:t>JBI and molecular risk-of-bias appraisal</w:t>
            </w:r>
          </w:p>
        </w:tc>
        <w:tc>
          <w:tcPr>
            <w:tcW w:type="dxa" w:w="5256"/>
            <w:vAlign w:val="top"/>
          </w:tcPr>
          <w:p>
            <w:pPr>
              <w:spacing w:after="0"/>
            </w:pPr>
            <w:r>
              <w:rPr>
                <w:rFonts w:ascii="Times New Roman" w:hAnsi="Times New Roman"/>
                <w:sz w:val="17"/>
              </w:rPr>
              <w:t>Pending – no records appraised.</w:t>
            </w:r>
          </w:p>
        </w:tc>
      </w:tr>
      <w:tr>
        <w:tc>
          <w:tcPr>
            <w:tcW w:type="dxa" w:w="792"/>
            <w:vAlign w:val="top"/>
          </w:tcPr>
          <w:p>
            <w:pPr>
              <w:spacing w:after="0"/>
            </w:pPr>
            <w:r>
              <w:rPr>
                <w:rFonts w:ascii="Times New Roman" w:hAnsi="Times New Roman"/>
                <w:sz w:val="17"/>
              </w:rPr>
              <w:t>H</w:t>
            </w:r>
          </w:p>
        </w:tc>
        <w:tc>
          <w:tcPr>
            <w:tcW w:type="dxa" w:w="4032"/>
            <w:vAlign w:val="top"/>
          </w:tcPr>
          <w:p>
            <w:pPr>
              <w:spacing w:after="0"/>
            </w:pPr>
            <w:r>
              <w:rPr>
                <w:rFonts w:ascii="Times New Roman" w:hAnsi="Times New Roman"/>
                <w:sz w:val="17"/>
              </w:rPr>
              <w:t>SWiM synthesis and certainty narrative</w:t>
            </w:r>
          </w:p>
        </w:tc>
        <w:tc>
          <w:tcPr>
            <w:tcW w:type="dxa" w:w="5256"/>
            <w:vAlign w:val="top"/>
          </w:tcPr>
          <w:p>
            <w:pPr>
              <w:spacing w:after="0"/>
            </w:pPr>
            <w:r>
              <w:rPr>
                <w:rFonts w:ascii="Times New Roman" w:hAnsi="Times New Roman"/>
                <w:sz w:val="17"/>
              </w:rPr>
              <w:t>Pending – no synthesis or certainty narrative.</w:t>
            </w:r>
          </w:p>
        </w:tc>
      </w:tr>
      <w:tr>
        <w:tc>
          <w:tcPr>
            <w:tcW w:type="dxa" w:w="792"/>
            <w:vAlign w:val="top"/>
          </w:tcPr>
          <w:p>
            <w:pPr>
              <w:spacing w:after="0"/>
            </w:pPr>
            <w:r>
              <w:rPr>
                <w:rFonts w:ascii="Times New Roman" w:hAnsi="Times New Roman"/>
                <w:sz w:val="17"/>
              </w:rPr>
              <w:t>I</w:t>
            </w:r>
          </w:p>
        </w:tc>
        <w:tc>
          <w:tcPr>
            <w:tcW w:type="dxa" w:w="4032"/>
            <w:vAlign w:val="top"/>
          </w:tcPr>
          <w:p>
            <w:pPr>
              <w:spacing w:after="0"/>
            </w:pPr>
            <w:r>
              <w:rPr>
                <w:rFonts w:ascii="Times New Roman" w:hAnsi="Times New Roman"/>
                <w:sz w:val="17"/>
              </w:rPr>
              <w:t>PRISMA flow and manuscript reporting</w:t>
            </w:r>
          </w:p>
        </w:tc>
        <w:tc>
          <w:tcPr>
            <w:tcW w:type="dxa" w:w="5256"/>
            <w:vAlign w:val="top"/>
          </w:tcPr>
          <w:p>
            <w:pPr>
              <w:spacing w:after="0"/>
            </w:pPr>
            <w:r>
              <w:rPr>
                <w:rFonts w:ascii="Times New Roman" w:hAnsi="Times New Roman"/>
                <w:sz w:val="17"/>
              </w:rPr>
              <w:t>Pending – no final counts or flow.</w:t>
            </w:r>
          </w:p>
        </w:tc>
      </w:tr>
      <w:tr>
        <w:tc>
          <w:tcPr>
            <w:tcW w:type="dxa" w:w="792"/>
            <w:vAlign w:val="top"/>
          </w:tcPr>
          <w:p>
            <w:pPr>
              <w:spacing w:after="0"/>
            </w:pPr>
            <w:r>
              <w:rPr>
                <w:rFonts w:ascii="Times New Roman" w:hAnsi="Times New Roman"/>
                <w:sz w:val="17"/>
              </w:rPr>
              <w:t>J</w:t>
            </w:r>
          </w:p>
        </w:tc>
        <w:tc>
          <w:tcPr>
            <w:tcW w:type="dxa" w:w="4032"/>
            <w:vAlign w:val="top"/>
          </w:tcPr>
          <w:p>
            <w:pPr>
              <w:spacing w:after="0"/>
            </w:pPr>
            <w:r>
              <w:rPr>
                <w:rFonts w:ascii="Times New Roman" w:hAnsi="Times New Roman"/>
                <w:sz w:val="17"/>
              </w:rPr>
              <w:t>PRISMA 2020/PRISMA-S/SWiM audit</w:t>
            </w:r>
          </w:p>
        </w:tc>
        <w:tc>
          <w:tcPr>
            <w:tcW w:type="dxa" w:w="5256"/>
            <w:vAlign w:val="top"/>
          </w:tcPr>
          <w:p>
            <w:pPr>
              <w:spacing w:after="0"/>
            </w:pPr>
            <w:r>
              <w:rPr>
                <w:rFonts w:ascii="Times New Roman" w:hAnsi="Times New Roman"/>
                <w:sz w:val="17"/>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rPr>
          <w:rFonts w:ascii="Times New Roman" w:hAnsi="Times New Roman"/>
          <w:sz w:val="22"/>
        </w:rPr>
        <w:t>Dated 23 September 2026. This appendix supersedes no source record: it consolidates the current gate state for this submission-stage status report, including the Batch B4-B20 title/metadata updates and the B19 duplicate-range retrieval/extraction pilot.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Gate</w:t>
            </w:r>
          </w:p>
        </w:tc>
        <w:tc>
          <w:tcPr>
            <w:tcW w:type="dxa" w:w="3120"/>
            <w:vAlign w:val="center"/>
            <w:shd w:fill="D9EAD3"/>
          </w:tcPr>
          <w:p>
            <w:r>
              <w:rPr>
                <w:rFonts w:ascii="Times New Roman" w:hAnsi="Times New Roman" w:eastAsia="Times New Roman"/>
                <w:b/>
                <w:sz w:val="16"/>
              </w:rPr>
              <w:t>Status at 22 September 2026</w:t>
            </w:r>
          </w:p>
        </w:tc>
        <w:tc>
          <w:tcPr>
            <w:tcW w:type="dxa" w:w="3120"/>
            <w:vAlign w:val="center"/>
            <w:shd w:fill="D9EAD3"/>
          </w:tcPr>
          <w:p>
            <w:r>
              <w:rPr>
                <w:rFonts w:ascii="Times New Roman" w:hAnsi="Times New Roman" w:eastAsia="Times New Roman"/>
                <w:b/>
                <w:sz w:val="16"/>
              </w:rPr>
              <w:t>Verified evidence and next condition</w:t>
            </w:r>
          </w:p>
        </w:tc>
      </w:tr>
      <w:tr>
        <w:tc>
          <w:tcPr>
            <w:tcW w:type="dxa" w:w="3120"/>
            <w:vAlign w:val="top"/>
          </w:tcPr>
          <w:p>
            <w:r>
              <w:rPr>
                <w:rFonts w:ascii="Times New Roman" w:hAnsi="Times New Roman" w:eastAsia="Times New Roman"/>
                <w:b w:val="0"/>
                <w:sz w:val="16"/>
              </w:rPr>
              <w:t>A: protocol truth</w:t>
            </w:r>
          </w:p>
        </w:tc>
        <w:tc>
          <w:tcPr>
            <w:tcW w:type="dxa" w:w="3120"/>
            <w:vAlign w:val="top"/>
          </w:tcPr>
          <w:p>
            <w:r>
              <w:rPr>
                <w:rFonts w:ascii="Times New Roman" w:hAnsi="Times New Roman" w:eastAsia="Times New Roman"/>
                <w:b w:val="0"/>
                <w:sz w:val="16"/>
              </w:rPr>
              <w:t>Closed</w:t>
            </w:r>
          </w:p>
        </w:tc>
        <w:tc>
          <w:tcPr>
            <w:tcW w:type="dxa" w:w="3120"/>
            <w:vAlign w:val="top"/>
          </w:tcPr>
          <w:p>
            <w:r>
              <w:rPr>
                <w:rFonts w:ascii="Times New Roman" w:hAnsi="Times New Roman" w:eastAsia="Times New Roman"/>
                <w:b w:val="0"/>
                <w:sz w:val="16"/>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16"/>
              </w:rPr>
              <w:t>B: search execution</w:t>
            </w:r>
          </w:p>
        </w:tc>
        <w:tc>
          <w:tcPr>
            <w:tcW w:type="dxa" w:w="3120"/>
            <w:vAlign w:val="top"/>
          </w:tcPr>
          <w:p>
            <w:r>
              <w:rPr>
                <w:rFonts w:ascii="Times New Roman" w:hAnsi="Times New Roman" w:eastAsia="Times New Roman"/>
                <w:b w:val="0"/>
                <w:sz w:val="16"/>
              </w:rPr>
              <w:t>Closed with export limitations</w:t>
            </w:r>
          </w:p>
        </w:tc>
        <w:tc>
          <w:tcPr>
            <w:tcW w:type="dxa" w:w="3120"/>
            <w:vAlign w:val="top"/>
          </w:tcPr>
          <w:p>
            <w:r>
              <w:rPr>
                <w:rFonts w:ascii="Times New Roman" w:hAnsi="Times New Roman" w:eastAsia="Times New Roman"/>
                <w:b w:val="0"/>
                <w:sz w:val="16"/>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16"/>
              </w:rPr>
              <w:t>C: canonicalisation and title/abstract screening</w:t>
            </w:r>
          </w:p>
        </w:tc>
        <w:tc>
          <w:tcPr>
            <w:tcW w:type="dxa" w:w="3120"/>
            <w:vAlign w:val="top"/>
          </w:tcPr>
          <w:p>
            <w:r>
              <w:rPr>
                <w:rFonts w:ascii="Times New Roman" w:hAnsi="Times New Roman"/>
                <w:sz w:val="20"/>
              </w:rPr>
              <w:t>Aggregate unique-register screening covered 1,877 records: 1,582 exclusions and 295 provisional full-text candidates. B19 was a duplicate-range audit; exact earlier retained IDs still require reconstruction.</w:t>
            </w:r>
          </w:p>
        </w:tc>
        <w:tc>
          <w:tcPr>
            <w:tcW w:type="dxa" w:w="3120"/>
            <w:vAlign w:val="top"/>
          </w:tcPr>
          <w:p>
            <w:r>
              <w:rPr>
                <w:rFonts w:ascii="Times New Roman" w:hAnsi="Times New Roman"/>
                <w:sz w:val="20"/>
              </w:rPr>
              <w:t>B20 true gap CAN-0341-CAN-0380 closed; full-text queue not yet auditable.</w:t>
            </w:r>
          </w:p>
        </w:tc>
      </w:tr>
      <w:tr>
        <w:tc>
          <w:tcPr>
            <w:tcW w:type="dxa" w:w="3120"/>
            <w:vAlign w:val="top"/>
          </w:tcPr>
          <w:p>
            <w:r>
              <w:rPr>
                <w:rFonts w:ascii="Times New Roman" w:hAnsi="Times New Roman" w:eastAsia="Times New Roman"/>
                <w:b w:val="0"/>
                <w:sz w:val="16"/>
              </w:rPr>
              <w:t>D: full-text eligibility</w:t>
            </w:r>
          </w:p>
        </w:tc>
        <w:tc>
          <w:tcPr>
            <w:tcW w:type="dxa" w:w="3120"/>
            <w:vAlign w:val="top"/>
          </w:tcPr>
          <w:p>
            <w:r>
              <w:rPr>
                <w:rFonts w:ascii="Times New Roman" w:hAnsi="Times New Roman" w:eastAsia="Times New Roman"/>
                <w:b w:val="0"/>
                <w:sz w:val="16"/>
              </w:rPr>
              <w:t>Not started</w:t>
            </w:r>
          </w:p>
        </w:tc>
        <w:tc>
          <w:tcPr>
            <w:tcW w:type="dxa" w:w="3120"/>
            <w:vAlign w:val="top"/>
          </w:tcPr>
          <w:p>
            <w:r>
              <w:t>Pending. The 83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16"/>
              </w:rPr>
              <w:t>E-G: extraction, RoB and certainty</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The fields are prepared below; no study has been extracted or appraised.</w:t>
            </w:r>
          </w:p>
        </w:tc>
      </w:tr>
      <w:tr>
        <w:tc>
          <w:tcPr>
            <w:tcW w:type="dxa" w:w="3120"/>
            <w:vAlign w:val="top"/>
          </w:tcPr>
          <w:p>
            <w:r>
              <w:rPr>
                <w:rFonts w:ascii="Times New Roman" w:hAnsi="Times New Roman" w:eastAsia="Times New Roman"/>
                <w:b w:val="0"/>
                <w:sz w:val="16"/>
              </w:rPr>
              <w:t>H-J: synthesis, reporting and final audit</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SWiM is prespecified. No PRISMA flow, included-study set, synthesis conclusion or completed reporting audit is claimed.</w:t>
            </w:r>
          </w:p>
        </w:tc>
      </w:tr>
    </w:tbl>
    <w:p>
      <w:pPr>
        <w:pStyle w:val="Heading2"/>
      </w:pPr>
      <w:r>
        <w:t>B2. Adjudicated Batch B2 title/metadata screening update</w:t>
      </w:r>
    </w:p>
    <w:p>
      <w:pPr/>
      <w:r>
        <w:t>Batch B2 was the next 100 non-pilot canonical records after B1, CAN-0135-CAN-0240 with pilot IDs omitted. R1 retained 20 records (10 Include-for-full-text and 10 Unsure/retain-for-full-text) and excluded 80. R2 retained 17 and excluded 83 in aggregate. Eight R1/R2 disagreements were identified during comparison. Final adjudication retained 17 records for full-text assessment and excluded 83. CAN-0151, CAN-0154 and CAN-0156 were excluded as clear global/non-Nigeria records. CAN-0189, CAN-0215 and CAN-0232 were retained for full text under the conservative uncertainty rule. R2-only retains CAN-0210 and CAN-0234 were excluded because title-level evidence did not establish eligible avian-AIV empirical data under the frozen criteria. The other 14 R1 retained IDs were unchanged. Every retained B2 record is a provisional full-text candidate, not a final included study.</w:t>
      </w:r>
    </w:p>
    <w:p>
      <w:pPr>
        <w:pStyle w:val="Heading2"/>
      </w:pPr>
      <w:r>
        <w:t>B3. Adjudicated Batch B3 title/metadata screening update</w:t>
      </w:r>
    </w:p>
    <w:p>
      <w:pPr/>
      <w:r>
        <w:t>Batch B3 comprised CAN-0241-CAN-0340 (100 records). R1 recorded 7 Include-for-full-text and 5 Unsure/retain-for-full-text decisions, with 88 Exclude; R2 recorded 7 Retain and 1 Unsure decision, with 92 Exclude. Cross-reviewer uncertainty/disagreement affected CAN-0245, CAN-0258, CAN-0266, CAN-0282, CAN-0317 and CAN-0340. Under the conservative rule, all six were retained for full-text review; the seven clear R1/R2 retains remained retained. Final B3 disposition: 13 provisional full-text candidates and 87 exclusions. These are not final included studies.</w:t>
      </w:r>
    </w:p>
    <w:p>
      <w:pPr>
        <w:pStyle w:val="Heading2"/>
      </w:pPr>
      <w:r>
        <w:t>B4. Batch B4 title/metadata screening update</w:t>
      </w:r>
    </w:p>
    <w:p>
      <w:pPr/>
      <w:r>
        <w:t>Batch B4 comprised CAN-0381-CAN-0480 (100 records). R1 and R2 had exact agreement (100/100): 0 clear Include-for-full-text decisions, 11 Unsure/retain-for-full-text decisions and 89 Exclude decisions. No disagreements occurred. All 11 uncertain records were retained conservatively for full-text assessment. These are provisional full-text candidates, not final included studies.</w:t>
      </w:r>
    </w:p>
    <w:p>
      <w:pPr>
        <w:pStyle w:val="Heading2"/>
      </w:pPr>
      <w:r>
        <w:t>B4.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t>B5.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4"/>
              </w:rPr>
              <w:t>Source/layer</w:t>
            </w:r>
          </w:p>
        </w:tc>
        <w:tc>
          <w:tcPr>
            <w:tcW w:type="dxa" w:w="3120"/>
            <w:vAlign w:val="center"/>
            <w:shd w:fill="D9EAD3"/>
          </w:tcPr>
          <w:p>
            <w:r>
              <w:rPr>
                <w:rFonts w:ascii="Times New Roman" w:hAnsi="Times New Roman" w:eastAsia="Times New Roman"/>
                <w:b/>
                <w:sz w:val="14"/>
              </w:rPr>
              <w:t>Dated verified count</w:t>
            </w:r>
          </w:p>
        </w:tc>
        <w:tc>
          <w:tcPr>
            <w:tcW w:type="dxa" w:w="3120"/>
            <w:vAlign w:val="center"/>
            <w:shd w:fill="D9EAD3"/>
          </w:tcPr>
          <w:p>
            <w:r>
              <w:rPr>
                <w:rFonts w:ascii="Times New Roman" w:hAnsi="Times New Roman" w:eastAsia="Times New Roman"/>
                <w:b/>
                <w:sz w:val="14"/>
              </w:rPr>
              <w:t>Record/export limitation</w:t>
            </w:r>
          </w:p>
        </w:tc>
      </w:tr>
      <w:tr>
        <w:tc>
          <w:tcPr>
            <w:tcW w:type="dxa" w:w="3120"/>
            <w:vAlign w:val="top"/>
          </w:tcPr>
          <w:p>
            <w:r>
              <w:rPr>
                <w:rFonts w:ascii="Times New Roman" w:hAnsi="Times New Roman" w:eastAsia="Times New Roman"/>
                <w:b w:val="0"/>
                <w:sz w:val="14"/>
              </w:rPr>
              <w:t>PubMed/MEDLINE v3</w:t>
            </w:r>
          </w:p>
        </w:tc>
        <w:tc>
          <w:tcPr>
            <w:tcW w:type="dxa" w:w="3120"/>
            <w:vAlign w:val="top"/>
          </w:tcPr>
          <w:p>
            <w:r>
              <w:rPr>
                <w:rFonts w:ascii="Times New Roman" w:hAnsi="Times New Roman" w:eastAsia="Times New Roman"/>
                <w:b w:val="0"/>
                <w:sz w:val="14"/>
              </w:rPr>
              <w:t>16 Sep 2026: 140 base; 53 molecular-facet</w:t>
            </w:r>
          </w:p>
        </w:tc>
        <w:tc>
          <w:tcPr>
            <w:tcW w:type="dxa" w:w="3120"/>
            <w:vAlign w:val="top"/>
          </w:tcPr>
          <w:p>
            <w:r>
              <w:rPr>
                <w:rFonts w:ascii="Times New Roman" w:hAnsi="Times New Roman" w:eastAsia="Times New Roman"/>
                <w:b w:val="0"/>
                <w:sz w:val="14"/>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14"/>
              </w:rPr>
              <w:t>Scopus</w:t>
            </w:r>
          </w:p>
        </w:tc>
        <w:tc>
          <w:tcPr>
            <w:tcW w:type="dxa" w:w="3120"/>
            <w:vAlign w:val="top"/>
          </w:tcPr>
          <w:p>
            <w:r>
              <w:rPr>
                <w:rFonts w:ascii="Times New Roman" w:hAnsi="Times New Roman" w:eastAsia="Times New Roman"/>
                <w:b w:val="0"/>
                <w:sz w:val="14"/>
              </w:rPr>
              <w:t>16 Sep 2026: 204</w:t>
            </w:r>
          </w:p>
        </w:tc>
        <w:tc>
          <w:tcPr>
            <w:tcW w:type="dxa" w:w="3120"/>
            <w:vAlign w:val="top"/>
          </w:tcPr>
          <w:p>
            <w:r>
              <w:rPr>
                <w:rFonts w:ascii="Times New Roman" w:hAnsi="Times New Roman" w:eastAsia="Times New Roman"/>
                <w:b w:val="0"/>
                <w:sz w:val="14"/>
              </w:rPr>
              <w:t>Manual export recorded. The v1 TITLE-ABS-KEY string is retained in the run sheet.</w:t>
            </w:r>
          </w:p>
        </w:tc>
      </w:tr>
      <w:tr>
        <w:tc>
          <w:tcPr>
            <w:tcW w:type="dxa" w:w="3120"/>
            <w:vAlign w:val="top"/>
          </w:tcPr>
          <w:p>
            <w:r>
              <w:rPr>
                <w:rFonts w:ascii="Times New Roman" w:hAnsi="Times New Roman" w:eastAsia="Times New Roman"/>
                <w:b w:val="0"/>
                <w:sz w:val="14"/>
              </w:rPr>
              <w:t>ScienceDirect</w:t>
            </w:r>
          </w:p>
        </w:tc>
        <w:tc>
          <w:tcPr>
            <w:tcW w:type="dxa" w:w="3120"/>
            <w:vAlign w:val="top"/>
          </w:tcPr>
          <w:p>
            <w:r>
              <w:rPr>
                <w:rFonts w:ascii="Times New Roman" w:hAnsi="Times New Roman" w:eastAsia="Times New Roman"/>
                <w:b w:val="0"/>
                <w:sz w:val="14"/>
              </w:rPr>
              <w:t>16 Sep 2026: 25 displayed/exported</w:t>
            </w:r>
          </w:p>
        </w:tc>
        <w:tc>
          <w:tcPr>
            <w:tcW w:type="dxa" w:w="3120"/>
            <w:vAlign w:val="top"/>
          </w:tcPr>
          <w:p>
            <w:r>
              <w:rPr>
                <w:rFonts w:ascii="Times New Roman" w:hAnsi="Times New Roman" w:eastAsia="Times New Roman"/>
                <w:b w:val="0"/>
                <w:sz w:val="14"/>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14"/>
              </w:rPr>
              <w:t>WoS Starter API</w:t>
            </w:r>
          </w:p>
        </w:tc>
        <w:tc>
          <w:tcPr>
            <w:tcW w:type="dxa" w:w="3120"/>
            <w:vAlign w:val="top"/>
          </w:tcPr>
          <w:p>
            <w:r>
              <w:rPr>
                <w:rFonts w:ascii="Times New Roman" w:hAnsi="Times New Roman" w:eastAsia="Times New Roman"/>
                <w:b w:val="0"/>
                <w:sz w:val="14"/>
              </w:rPr>
              <w:t>19 Sep 2026: 175 UIDs</w:t>
            </w:r>
          </w:p>
        </w:tc>
        <w:tc>
          <w:tcPr>
            <w:tcW w:type="dxa" w:w="3120"/>
            <w:vAlign w:val="top"/>
          </w:tcPr>
          <w:p>
            <w:r>
              <w:rPr>
                <w:rFonts w:ascii="Times New Roman" w:hAnsi="Times New Roman" w:eastAsia="Times New Roman"/>
                <w:b w:val="0"/>
                <w:sz w:val="14"/>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14"/>
              </w:rPr>
              <w:t>WoS Core Collection browser</w:t>
            </w:r>
          </w:p>
        </w:tc>
        <w:tc>
          <w:tcPr>
            <w:tcW w:type="dxa" w:w="3120"/>
            <w:vAlign w:val="top"/>
          </w:tcPr>
          <w:p>
            <w:r>
              <w:rPr>
                <w:rFonts w:ascii="Times New Roman" w:hAnsi="Times New Roman" w:eastAsia="Times New Roman"/>
                <w:b w:val="0"/>
                <w:sz w:val="14"/>
              </w:rPr>
              <w:t>20 Sep 2026: 206 base; 77 molecular; 154 epidemiology; 70 wild-bird/host</w:t>
            </w:r>
          </w:p>
        </w:tc>
        <w:tc>
          <w:tcPr>
            <w:tcW w:type="dxa" w:w="3120"/>
            <w:vAlign w:val="top"/>
          </w:tcPr>
          <w:p>
            <w:r>
              <w:rPr>
                <w:rFonts w:ascii="Times New Roman" w:hAnsi="Times New Roman" w:eastAsia="Times New Roman"/>
                <w:b w:val="0"/>
                <w:sz w:val="14"/>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14"/>
              </w:rPr>
              <w:t>Google Scholar supplement</w:t>
            </w:r>
          </w:p>
        </w:tc>
        <w:tc>
          <w:tcPr>
            <w:tcW w:type="dxa" w:w="3120"/>
            <w:vAlign w:val="top"/>
          </w:tcPr>
          <w:p>
            <w:r>
              <w:rPr>
                <w:rFonts w:ascii="Times New Roman" w:hAnsi="Times New Roman" w:eastAsia="Times New Roman"/>
                <w:b w:val="0"/>
                <w:sz w:val="14"/>
              </w:rPr>
              <w:t>17 Sep 2026: 140 retrieved; 99 cross-query unique</w:t>
            </w:r>
          </w:p>
        </w:tc>
        <w:tc>
          <w:tcPr>
            <w:tcW w:type="dxa" w:w="3120"/>
            <w:vAlign w:val="top"/>
          </w:tcPr>
          <w:p>
            <w:r>
              <w:rPr>
                <w:rFonts w:ascii="Times New Roman" w:hAnsi="Times New Roman" w:eastAsia="Times New Roman"/>
                <w:b w:val="0"/>
                <w:sz w:val="14"/>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14"/>
              </w:rPr>
              <w:t>AJOL on-site</w:t>
            </w:r>
          </w:p>
        </w:tc>
        <w:tc>
          <w:tcPr>
            <w:tcW w:type="dxa" w:w="3120"/>
            <w:vAlign w:val="top"/>
          </w:tcPr>
          <w:p>
            <w:r>
              <w:rPr>
                <w:rFonts w:ascii="Times New Roman" w:hAnsi="Times New Roman" w:eastAsia="Times New Roman"/>
                <w:b w:val="0"/>
                <w:sz w:val="14"/>
              </w:rPr>
              <w:t>20 Sep 2026: 144 query rows; 79 unique pages; 73 in-window</w:t>
            </w:r>
          </w:p>
        </w:tc>
        <w:tc>
          <w:tcPr>
            <w:tcW w:type="dxa" w:w="3120"/>
            <w:vAlign w:val="top"/>
          </w:tcPr>
          <w:p>
            <w:r>
              <w:rPr>
                <w:rFonts w:ascii="Times New Roman" w:hAnsi="Times New Roman" w:eastAsia="Times New Roman"/>
                <w:b w:val="0"/>
                <w:sz w:val="14"/>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14"/>
              </w:rPr>
              <w:t>OpenAlex/Crossref supplements</w:t>
            </w:r>
          </w:p>
        </w:tc>
        <w:tc>
          <w:tcPr>
            <w:tcW w:type="dxa" w:w="3120"/>
            <w:vAlign w:val="top"/>
          </w:tcPr>
          <w:p>
            <w:r>
              <w:rPr>
                <w:rFonts w:ascii="Times New Roman" w:hAnsi="Times New Roman" w:eastAsia="Times New Roman"/>
                <w:b w:val="0"/>
                <w:sz w:val="14"/>
              </w:rPr>
              <w:t>16 Sep 2026: 1,000 exported from each raw supplement</w:t>
            </w:r>
          </w:p>
        </w:tc>
        <w:tc>
          <w:tcPr>
            <w:tcW w:type="dxa" w:w="3120"/>
            <w:vAlign w:val="top"/>
          </w:tcPr>
          <w:p>
            <w:r>
              <w:rPr>
                <w:rFonts w:ascii="Times New Roman" w:hAnsi="Times New Roman" w:eastAsia="Times New Roman"/>
                <w:b w:val="0"/>
                <w:sz w:val="14"/>
              </w:rPr>
              <w:t>Supplementary discovery layers. Their rows were reconciled in the canonical register, not treated as final included studies.</w:t>
            </w:r>
          </w:p>
        </w:tc>
      </w:tr>
    </w:tbl>
    <w:p>
      <w:pPr>
        <w:pStyle w:val="Heading2"/>
      </w:pPr>
      <w:r>
        <w:t>B6.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Adjudicated title/metadata screening outcome</w:t>
            </w:r>
          </w:p>
        </w:tc>
        <w:tc>
          <w:tcPr>
            <w:tcW w:type="dxa" w:w="3120"/>
            <w:vAlign w:val="center"/>
            <w:shd w:fill="D9EAD3"/>
          </w:tcPr>
          <w:p>
            <w:r>
              <w:rPr>
                <w:rFonts w:ascii="Times New Roman" w:hAnsi="Times New Roman" w:eastAsia="Times New Roman"/>
                <w:b/>
                <w:sz w:val="16"/>
              </w:rPr>
              <w:t>Count</w:t>
            </w:r>
          </w:p>
        </w:tc>
        <w:tc>
          <w:tcPr>
            <w:tcW w:type="dxa" w:w="3120"/>
            <w:vAlign w:val="center"/>
            <w:shd w:fill="D9EAD3"/>
          </w:tcPr>
          <w:p>
            <w:r>
              <w:rPr>
                <w:rFonts w:ascii="Times New Roman" w:hAnsi="Times New Roman" w:eastAsia="Times New Roman"/>
                <w:b/>
                <w:sz w:val="16"/>
              </w:rPr>
              <w:t>Canonical IDs / decision-reason-code status</w:t>
            </w:r>
          </w:p>
        </w:tc>
      </w:tr>
      <w:tr>
        <w:tc>
          <w:tcPr>
            <w:tcW w:type="dxa" w:w="3120"/>
            <w:vAlign w:val="top"/>
          </w:tcPr>
          <w:p>
            <w:r>
              <w:rPr>
                <w:rFonts w:ascii="Times New Roman" w:hAnsi="Times New Roman" w:eastAsia="Times New Roman"/>
                <w:b w:val="0"/>
                <w:sz w:val="16"/>
              </w:rPr>
              <w:t>Clear exclusions</w:t>
            </w:r>
          </w:p>
        </w:tc>
        <w:tc>
          <w:tcPr>
            <w:tcW w:type="dxa" w:w="3120"/>
            <w:vAlign w:val="top"/>
          </w:tcPr>
          <w:p>
            <w:r>
              <w:rPr>
                <w:rFonts w:ascii="Times New Roman" w:hAnsi="Times New Roman" w:eastAsia="Times New Roman"/>
                <w:b w:val="0"/>
                <w:sz w:val="16"/>
              </w:rPr>
              <w:t>25</w:t>
            </w:r>
          </w:p>
        </w:tc>
        <w:tc>
          <w:tcPr>
            <w:tcW w:type="dxa" w:w="3120"/>
            <w:vAlign w:val="top"/>
          </w:tcPr>
          <w:p>
            <w:r>
              <w:rPr>
                <w:rFonts w:ascii="Times New Roman" w:hAnsi="Times New Roman" w:eastAsia="Times New Roman"/>
                <w:b w:val="0"/>
                <w:sz w:val="16"/>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16"/>
              </w:rPr>
              <w:t>Retained provisionally for full text</w:t>
            </w:r>
          </w:p>
        </w:tc>
        <w:tc>
          <w:tcPr>
            <w:tcW w:type="dxa" w:w="3120"/>
            <w:vAlign w:val="top"/>
          </w:tcPr>
          <w:p>
            <w:r>
              <w:rPr>
                <w:rFonts w:ascii="Times New Roman" w:hAnsi="Times New Roman" w:eastAsia="Times New Roman"/>
                <w:b w:val="0"/>
                <w:sz w:val="16"/>
              </w:rPr>
              <w:t>15</w:t>
            </w:r>
          </w:p>
        </w:tc>
        <w:tc>
          <w:tcPr>
            <w:tcW w:type="dxa" w:w="3120"/>
            <w:vAlign w:val="top"/>
          </w:tcPr>
          <w:p>
            <w:r>
              <w:rPr>
                <w:rFonts w:ascii="Times New Roman" w:hAnsi="Times New Roman" w:eastAsia="Times New Roman"/>
                <w:b w:val="0"/>
                <w:sz w:val="16"/>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16"/>
              </w:rPr>
              <w:t>Clear title-level retains</w:t>
            </w:r>
          </w:p>
        </w:tc>
        <w:tc>
          <w:tcPr>
            <w:tcW w:type="dxa" w:w="3120"/>
            <w:vAlign w:val="top"/>
          </w:tcPr>
          <w:p>
            <w:r>
              <w:rPr>
                <w:rFonts w:ascii="Times New Roman" w:hAnsi="Times New Roman" w:eastAsia="Times New Roman"/>
                <w:b w:val="0"/>
                <w:sz w:val="16"/>
              </w:rPr>
              <w:t>11</w:t>
            </w:r>
          </w:p>
        </w:tc>
        <w:tc>
          <w:tcPr>
            <w:tcW w:type="dxa" w:w="3120"/>
            <w:vAlign w:val="top"/>
          </w:tcPr>
          <w:p>
            <w:r>
              <w:rPr>
                <w:rFonts w:ascii="Times New Roman" w:hAnsi="Times New Roman" w:eastAsia="Times New Roman"/>
                <w:b w:val="0"/>
                <w:sz w:val="16"/>
              </w:rPr>
              <w:t>Eligible-looking title/metadata; all remain provisional until full-text eligibility assessment.</w:t>
            </w:r>
          </w:p>
        </w:tc>
      </w:tr>
      <w:tr>
        <w:tc>
          <w:tcPr>
            <w:tcW w:type="dxa" w:w="3120"/>
            <w:vAlign w:val="top"/>
          </w:tcPr>
          <w:p>
            <w:r>
              <w:rPr>
                <w:rFonts w:ascii="Times New Roman" w:hAnsi="Times New Roman" w:eastAsia="Times New Roman"/>
                <w:b w:val="0"/>
                <w:sz w:val="16"/>
              </w:rPr>
              <w:t>Retained under uncertainty</w:t>
            </w:r>
          </w:p>
        </w:tc>
        <w:tc>
          <w:tcPr>
            <w:tcW w:type="dxa" w:w="3120"/>
            <w:vAlign w:val="top"/>
          </w:tcPr>
          <w:p>
            <w:r>
              <w:rPr>
                <w:rFonts w:ascii="Times New Roman" w:hAnsi="Times New Roman" w:eastAsia="Times New Roman"/>
                <w:b w:val="0"/>
                <w:sz w:val="16"/>
              </w:rPr>
              <w:t>4</w:t>
            </w:r>
          </w:p>
        </w:tc>
        <w:tc>
          <w:tcPr>
            <w:tcW w:type="dxa" w:w="3120"/>
            <w:vAlign w:val="top"/>
          </w:tcPr>
          <w:p>
            <w:r>
              <w:rPr>
                <w:rFonts w:ascii="Times New Roman" w:hAnsi="Times New Roman" w:eastAsia="Times New Roman"/>
                <w:b w:val="0"/>
                <w:sz w:val="16"/>
              </w:rPr>
              <w:t>Conservative rule applied; includes adjudicated CAN-0031 and CAN-0049. All remain provisional until full-text eligibility assessment.</w:t>
            </w:r>
          </w:p>
        </w:tc>
      </w:tr>
      <w:tr>
        <w:tc>
          <w:tcPr>
            <w:tcW w:type="dxa" w:w="3120"/>
          </w:tcPr>
          <w:p>
            <w:r>
              <w:t>Batch R1-B1: Include-for-full-text</w:t>
            </w:r>
          </w:p>
        </w:tc>
        <w:tc>
          <w:tcPr>
            <w:tcW w:type="dxa" w:w="3120"/>
          </w:tcPr>
          <w:p>
            <w:r>
              <w:t>17</w:t>
            </w:r>
          </w:p>
        </w:tc>
        <w:tc>
          <w:tcPr>
            <w:tcW w:type="dxa" w:w="3120"/>
          </w:tcPr>
          <w:p>
            <w:r>
              <w:t>Decision/reason-code category: Include. Provisional full-text candidates; not final included studies.</w:t>
            </w:r>
          </w:p>
        </w:tc>
      </w:tr>
      <w:tr>
        <w:tc>
          <w:tcPr>
            <w:tcW w:type="dxa" w:w="3120"/>
          </w:tcPr>
          <w:p>
            <w:r>
              <w:t>Batch R1-B1: Unsure/retain-for-full-text</w:t>
            </w:r>
          </w:p>
        </w:tc>
        <w:tc>
          <w:tcPr>
            <w:tcW w:type="dxa" w:w="3120"/>
          </w:tcPr>
          <w:p>
            <w:r>
              <w:t>10</w:t>
            </w:r>
          </w:p>
        </w:tc>
        <w:tc>
          <w:tcPr>
            <w:tcW w:type="dxa" w:w="3120"/>
          </w:tcPr>
          <w:p>
            <w:r>
              <w:t>Decision/reason-code category: Unsure. Retained under the conservative uncertainty rule; not final included studies.</w:t>
            </w:r>
          </w:p>
        </w:tc>
      </w:tr>
      <w:tr>
        <w:tc>
          <w:tcPr>
            <w:tcW w:type="dxa" w:w="3120"/>
          </w:tcPr>
          <w:p>
            <w:r>
              <w:t>Batch R1-B1: Exclude</w:t>
            </w:r>
          </w:p>
        </w:tc>
        <w:tc>
          <w:tcPr>
            <w:tcW w:type="dxa" w:w="3120"/>
          </w:tcPr>
          <w:p>
            <w:r>
              <w:t>73</w:t>
            </w:r>
          </w:p>
        </w:tc>
        <w:tc>
          <w:tcPr>
            <w:tcW w:type="dxa" w:w="3120"/>
          </w:tcPr>
          <w:p>
            <w:r>
              <w:t>Decision/reason-code category: Exclude. Clear title/metadata exclusions.</w:t>
            </w:r>
          </w:p>
        </w:tc>
      </w:tr>
      <w:tr>
        <w:tc>
          <w:tcPr>
            <w:tcW w:type="dxa" w:w="3120"/>
          </w:tcPr>
          <w:p>
            <w:r>
              <w:t>Batch R1-B1: exact R1/R2 agreement</w:t>
            </w:r>
          </w:p>
        </w:tc>
        <w:tc>
          <w:tcPr>
            <w:tcW w:type="dxa" w:w="3120"/>
          </w:tcPr>
          <w:p>
            <w:r>
              <w:t>100/100</w:t>
            </w:r>
          </w:p>
        </w:tc>
        <w:tc>
          <w:tcPr>
            <w:tcW w:type="dxa" w:w="3120"/>
          </w:tcPr>
          <w:p>
            <w:r>
              <w:t>First 100 non-pilot canonical records by canonical_id order, CAN-0015 through CAN-0134 with pilot IDs omitted. No adjudication disagreements.</w:t>
            </w:r>
          </w:p>
        </w:tc>
      </w:tr>
      <w:tr>
        <w:tc>
          <w:tcPr>
            <w:tcW w:type="dxa" w:w="3120"/>
          </w:tcPr>
          <w:p>
            <w:r>
              <w:t>Batch R1-B1: retained provisionally for full text</w:t>
            </w:r>
          </w:p>
        </w:tc>
        <w:tc>
          <w:tcPr>
            <w:tcW w:type="dxa" w:w="3120"/>
          </w:tcPr>
          <w:p>
            <w:r>
              <w:t>27</w:t>
            </w:r>
          </w:p>
        </w:tc>
        <w:tc>
          <w:tcPr>
            <w:tcW w:type="dxa" w:w="3120"/>
          </w:tcPr>
          <w:p>
            <w: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t>Cumulative through pilot + Batch R1-B1: clear exclusions</w:t>
            </w:r>
          </w:p>
        </w:tc>
        <w:tc>
          <w:tcPr>
            <w:tcW w:type="dxa" w:w="3120"/>
          </w:tcPr>
          <w:p>
            <w:r>
              <w:t>98</w:t>
            </w:r>
          </w:p>
        </w:tc>
        <w:tc>
          <w:tcPr>
            <w:tcW w:type="dxa" w:w="3120"/>
          </w:tcPr>
          <w:p>
            <w:r>
              <w:t>Title/metadata only; interim milestone, not a final PRISMA exclusion count.</w:t>
            </w:r>
          </w:p>
        </w:tc>
      </w:tr>
      <w:tr>
        <w:tc>
          <w:tcPr>
            <w:tcW w:type="dxa" w:w="3120"/>
          </w:tcPr>
          <w:p>
            <w:r>
              <w:t>Cumulative through pilot + Batch R1-B1: provisional full-text candidates</w:t>
            </w:r>
          </w:p>
        </w:tc>
        <w:tc>
          <w:tcPr>
            <w:tcW w:type="dxa" w:w="3120"/>
          </w:tcPr>
          <w:p>
            <w:r>
              <w:t>42</w:t>
            </w:r>
          </w:p>
        </w:tc>
        <w:tc>
          <w:tcPr>
            <w:tcW w:type="dxa" w:w="3120"/>
          </w:tcPr>
          <w:p>
            <w:r>
              <w:t>All retained records remained provisional pending full-text assessment, extraction, risk-of-bias appraisal, certainty assessment and synthesis.</w:t>
            </w:r>
          </w:p>
        </w:tc>
      </w:tr>
      <w:tr>
        <w:tc>
          <w:tcPr>
            <w:tcW w:type="dxa" w:w="3120"/>
          </w:tcPr>
          <w:p>
            <w:r>
              <w:t>Batch B2: scope</w:t>
            </w:r>
          </w:p>
        </w:tc>
        <w:tc>
          <w:tcPr>
            <w:tcW w:type="dxa" w:w="3120"/>
          </w:tcPr>
          <w:p>
            <w:r>
              <w:t>100</w:t>
            </w:r>
          </w:p>
        </w:tc>
        <w:tc>
          <w:tcPr>
            <w:tcW w:type="dxa" w:w="3120"/>
          </w:tcPr>
          <w:p>
            <w:r>
              <w:t>Next 100 non-pilot canonical records after B1: CAN-0135-CAN-0240, with pilot IDs omitted. Title/metadata screening only.</w:t>
            </w:r>
          </w:p>
        </w:tc>
      </w:tr>
      <w:tr>
        <w:tc>
          <w:tcPr>
            <w:tcW w:type="dxa" w:w="3120"/>
          </w:tcPr>
          <w:p>
            <w:r>
              <w:t>Batch B2: R1 disposition</w:t>
            </w:r>
          </w:p>
        </w:tc>
        <w:tc>
          <w:tcPr>
            <w:tcW w:type="dxa" w:w="3120"/>
          </w:tcPr>
          <w:p>
            <w:r>
              <w:t>20 retained; 80 excluded</w:t>
            </w:r>
          </w:p>
        </w:tc>
        <w:tc>
          <w:tcPr>
            <w:tcW w:type="dxa" w:w="3120"/>
          </w:tcPr>
          <w:p>
            <w:r>
              <w:t>10 Include-for-full-text; 10 Unsure/retain-for-full-text. Independent R1 title/metadata screen.</w:t>
            </w:r>
          </w:p>
        </w:tc>
      </w:tr>
      <w:tr>
        <w:tc>
          <w:tcPr>
            <w:tcW w:type="dxa" w:w="3120"/>
          </w:tcPr>
          <w:p>
            <w:r>
              <w:t>Batch B2: R2 disposition</w:t>
            </w:r>
          </w:p>
        </w:tc>
        <w:tc>
          <w:tcPr>
            <w:tcW w:type="dxa" w:w="3120"/>
          </w:tcPr>
          <w:p>
            <w:r>
              <w:t>17 retained; 83 excluded</w:t>
            </w:r>
          </w:p>
        </w:tc>
        <w:tc>
          <w:tcPr>
            <w:tcW w:type="dxa" w:w="3120"/>
          </w:tcPr>
          <w:p>
            <w:r>
              <w:t>Aggregate R2 disposition. Independent R2 title/metadata screen.</w:t>
            </w:r>
          </w:p>
        </w:tc>
      </w:tr>
      <w:tr>
        <w:tc>
          <w:tcPr>
            <w:tcW w:type="dxa" w:w="3120"/>
          </w:tcPr>
          <w:p>
            <w:r>
              <w:t>Batch B2: disagreements and adjudication</w:t>
            </w:r>
          </w:p>
        </w:tc>
        <w:tc>
          <w:tcPr>
            <w:tcW w:type="dxa" w:w="3120"/>
          </w:tcPr>
          <w:p>
            <w:r>
              <w:t>8</w:t>
            </w:r>
          </w:p>
        </w:tc>
        <w:tc>
          <w:tcPr>
            <w:tcW w:type="dxa" w:w="3120"/>
          </w:tcPr>
          <w:p>
            <w:r>
              <w:t>CAN-0151, CAN-0154, CAN-0156, CAN-0189, CAN-0210, CAN-0215, CAN-0232 and CAN-0234. Apply the frozen criteria and conservative uncertainty rule; no final study inclusion is inferred.</w:t>
            </w:r>
          </w:p>
        </w:tc>
      </w:tr>
      <w:tr>
        <w:tc>
          <w:tcPr>
            <w:tcW w:type="dxa" w:w="3120"/>
          </w:tcPr>
          <w:p>
            <w:r>
              <w:t>Batch B2: final retained provisionally for full text</w:t>
            </w:r>
          </w:p>
        </w:tc>
        <w:tc>
          <w:tcPr>
            <w:tcW w:type="dxa" w:w="3120"/>
          </w:tcPr>
          <w:p>
            <w:r>
              <w:t>17</w:t>
            </w:r>
          </w:p>
        </w:tc>
        <w:tc>
          <w:tcPr>
            <w:tcW w:type="dxa" w:w="3120"/>
          </w:tcPr>
          <w:p>
            <w:r>
              <w:t>The 14 unchanged R1 retained IDs plus CAN-0189, CAN-0215 and CAN-0232. All 17 are provisional full-text candidates, not final included studies.</w:t>
            </w:r>
          </w:p>
        </w:tc>
      </w:tr>
      <w:tr>
        <w:tc>
          <w:tcPr>
            <w:tcW w:type="dxa" w:w="3120"/>
          </w:tcPr>
          <w:p>
            <w:r>
              <w:t>Batch B2: final exclusions</w:t>
            </w:r>
          </w:p>
        </w:tc>
        <w:tc>
          <w:tcPr>
            <w:tcW w:type="dxa" w:w="3120"/>
          </w:tcPr>
          <w:p>
            <w:r>
              <w:t>83</w:t>
            </w:r>
          </w:p>
        </w:tc>
        <w:tc>
          <w:tcPr>
            <w:tcW w:type="dxa" w:w="3120"/>
          </w:tcPr>
          <w:p>
            <w:r>
              <w:t>Includes clear global/non-Nigeria CAN-0151, CAN-0154 and CAN-0156, and R2-only CAN-0210 and CAN-0234. CAN-0210 and CAN-0234 lacked title-level evidence of eligible avian-AIV empirical data under the frozen criteria.</w:t>
            </w:r>
          </w:p>
        </w:tc>
      </w:tr>
      <w:tr>
        <w:tc>
          <w:tcPr>
            <w:tcW w:type="dxa" w:w="3120"/>
          </w:tcPr>
          <w:p>
            <w:r>
              <w:t>Cumulative pilot + Batch R1-B1 + Batch B2: clear exclusions</w:t>
            </w:r>
          </w:p>
        </w:tc>
        <w:tc>
          <w:tcPr>
            <w:tcW w:type="dxa" w:w="3120"/>
          </w:tcPr>
          <w:p>
            <w:r>
              <w:t>181</w:t>
            </w:r>
          </w:p>
        </w:tc>
        <w:tc>
          <w:tcPr>
            <w:tcW w:type="dxa" w:w="3120"/>
          </w:tcPr>
          <w:p>
            <w:r>
              <w:t>Title/metadata screening only; not a final PRISMA exclusion count.</w:t>
            </w:r>
          </w:p>
        </w:tc>
      </w:tr>
      <w:tr>
        <w:tc>
          <w:tcPr>
            <w:tcW w:type="dxa" w:w="3120"/>
          </w:tcPr>
          <w:p>
            <w:r>
              <w:t>Cumulative pilot + Batch R1-B1 + Batch B2: provisional full-text candidates</w:t>
            </w:r>
          </w:p>
        </w:tc>
        <w:tc>
          <w:tcPr>
            <w:tcW w:type="dxa" w:w="3120"/>
          </w:tcPr>
          <w:p>
            <w:r>
              <w:t>59</w:t>
            </w:r>
          </w:p>
        </w:tc>
        <w:tc>
          <w:tcPr>
            <w:tcW w:type="dxa" w:w="3120"/>
          </w:tcPr>
          <w:p>
            <w:r>
              <w:t>All retained records await full-text eligibility assessment. Not final included studies; extraction, RoB, certainty, final PRISMA and SWiM synthesis remain pending.</w:t>
            </w:r>
          </w:p>
        </w:tc>
      </w:tr>
      <w:tr>
        <w:tc>
          <w:tcPr>
            <w:tcW w:type="dxa" w:w="3120"/>
          </w:tcPr>
          <w:tcPr/>
          <w:p>
            <w:r>
              <w:t>Batch B3: scope and independent dispositions</w:t>
            </w:r>
          </w:p>
        </w:tc>
        <w:tc>
          <w:tcPr>
            <w:tcW w:type="dxa" w:w="3120"/>
          </w:tcPr>
          <w:tcPr/>
          <w:p>
            <w:r>
              <w:t>100</w:t>
            </w:r>
          </w:p>
        </w:tc>
        <w:tc>
          <w:tcPr>
            <w:tcW w:type="dxa" w:w="3120"/>
          </w:tcPr>
          <w:tcPr/>
          <w:p>
            <w:r>
              <w:t>CAN-0241-CAN-0340. R1: 7 Include-for-full-text + 5 Unsure/retain-for-full-text; 88 Exclude. R2: 7 Retain + 1 Unsure; 92 Exclude.</w:t>
            </w:r>
          </w:p>
        </w:tc>
      </w:tr>
      <w:tr>
        <w:tc>
          <w:tcPr>
            <w:tcW w:type="dxa" w:w="3120"/>
          </w:tcPr>
          <w:tcPr/>
          <w:p>
            <w:r>
              <w:t>Batch B3: cross-reviewer uncertainty/disagreement and adjudication</w:t>
            </w:r>
          </w:p>
        </w:tc>
        <w:tc>
          <w:tcPr>
            <w:tcW w:type="dxa" w:w="3120"/>
          </w:tcPr>
          <w:tcPr/>
          <w:p>
            <w:r>
              <w:t>6</w:t>
            </w:r>
          </w:p>
        </w:tc>
        <w:tc>
          <w:tcPr>
            <w:tcW w:type="dxa" w:w="3120"/>
          </w:tcPr>
          <w:tcPr/>
          <w:p>
            <w:r>
              <w:t>CAN-0245, CAN-0258, CAN-0266, CAN-0282, CAN-0317 and CAN-0340. Conservative rule: retain all six for full-text review; no final study inclusion is inferred.</w:t>
            </w:r>
          </w:p>
        </w:tc>
      </w:tr>
      <w:tr>
        <w:tc>
          <w:tcPr>
            <w:tcW w:type="dxa" w:w="3120"/>
          </w:tcPr>
          <w:tcPr/>
          <w:p>
            <w:r>
              <w:t>Batch B3: final disposition</w:t>
            </w:r>
          </w:p>
        </w:tc>
        <w:tc>
          <w:tcPr>
            <w:tcW w:type="dxa" w:w="3120"/>
          </w:tcPr>
          <w:tcPr/>
          <w:p>
            <w:r>
              <w:t>13 retained; 87 excluded</w:t>
            </w:r>
          </w:p>
        </w:tc>
        <w:tc>
          <w:tcPr>
            <w:tcW w:type="dxa" w:w="3120"/>
          </w:tcPr>
          <w:tcPr/>
          <w:p>
            <w:r>
              <w:t>The seven clear R1/R2 retains remained retained, with the six uncertainty/disagreement records. All 13 are provisional full-text candidates, not final included studies.</w:t>
            </w:r>
          </w:p>
        </w:tc>
      </w:tr>
      <w:tr>
        <w:tc>
          <w:tcPr>
            <w:tcW w:type="dxa" w:w="3120"/>
          </w:tcPr>
          <w:tcPr/>
          <w:p>
            <w:r>
              <w:t>Batch B4: scope and final disposition</w:t>
            </w:r>
          </w:p>
        </w:tc>
        <w:tc>
          <w:tcPr>
            <w:tcW w:type="dxa" w:w="3120"/>
          </w:tcPr>
          <w:tcPr/>
          <w:p>
            <w:r>
              <w:t>100 records CAN-0381-CAN-0480; exact R1/R2 agreement (100/100)</w:t>
            </w:r>
          </w:p>
        </w:tc>
        <w:tc>
          <w:tcPr>
            <w:tcW w:type="dxa" w:w="3120"/>
          </w:tcPr>
          <w:tcPr/>
          <w:p>
            <w:r>
              <w:t>0 clear Include-for-full-text; 11 Unsure/retain-for-full-text, all retained provisionally for full text; 89 Exclude; no disagreements.</w:t>
            </w:r>
          </w:p>
        </w:tc>
      </w:tr>
      <w:tr>
        <w:tc>
          <w:tcPr>
            <w:tcW w:type="dxa" w:w="3120"/>
          </w:tcPr>
          <w:p>
            <w:r>
              <w:rPr>
                <w:rFonts w:ascii="Times New Roman" w:hAnsi="Times New Roman"/>
                <w:sz w:val="20"/>
              </w:rPr>
              <w:t>Cumulative unique register through B20 (B19 duplicate audit non-additive)</w:t>
            </w:r>
          </w:p>
        </w:tc>
        <w:tc>
          <w:tcPr>
            <w:tcW w:type="dxa" w:w="3120"/>
          </w:tcPr>
          <w:p>
            <w:r>
              <w:rPr>
                <w:rFonts w:ascii="Times New Roman" w:hAnsi="Times New Roman"/>
                <w:sz w:val="20"/>
              </w:rPr>
              <w:t>1,877 screened; 1,582 excluded; 295 provisional full-text candidates</w:t>
            </w:r>
          </w:p>
        </w:tc>
        <w:tc>
          <w:tcPr>
            <w:tcW w:type="dxa" w:w="3120"/>
          </w:tcPr>
          <w:p>
            <w:r>
              <w:rPr>
                <w:rFonts w:ascii="Times New Roman" w:hAnsi="Times New Roman"/>
                <w:sz w:val="20"/>
              </w:rPr>
              <w:t>Aggregate title/metadata coverage only. Exact retained-ID reconstruction for earlier batches, full-text assessment, extraction, RoB, certainty, final PRISMA flow and SWiM remain pending.</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At that interim milestone, the adjudicated pilot and Batch R1-B1 comprised 140 title/metadata records: 98 clear exclusions and 42 provisional full-text candidates. All retained records are provisional full-text candidates, not final included studies; no final PRISMA count has been produced.</w:t>
      </w:r>
    </w:p>
    <w:p>
      <w:pPr>
        <w:pStyle w:val="Heading2"/>
      </w:pPr>
      <w:r>
        <w:t>B7.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Stage</w:t>
            </w:r>
          </w:p>
        </w:tc>
        <w:tc>
          <w:tcPr>
            <w:tcW w:type="dxa" w:w="3120"/>
            <w:vAlign w:val="center"/>
            <w:shd w:fill="D9EAD3"/>
          </w:tcPr>
          <w:p>
            <w:r>
              <w:rPr>
                <w:rFonts w:ascii="Times New Roman" w:hAnsi="Times New Roman" w:eastAsia="Times New Roman"/>
                <w:b/>
                <w:sz w:val="16"/>
              </w:rPr>
              <w:t>Fields to complete after eligibility</w:t>
            </w:r>
          </w:p>
        </w:tc>
        <w:tc>
          <w:tcPr>
            <w:tcW w:type="dxa" w:w="3120"/>
            <w:vAlign w:val="center"/>
            <w:shd w:fill="D9EAD3"/>
          </w:tcPr>
          <w:p>
            <w:r>
              <w:rPr>
                <w:rFonts w:ascii="Times New Roman" w:hAnsi="Times New Roman" w:eastAsia="Times New Roman"/>
                <w:b/>
                <w:sz w:val="16"/>
              </w:rPr>
              <w:t>Status</w:t>
            </w:r>
          </w:p>
        </w:tc>
      </w:tr>
      <w:tr>
        <w:tc>
          <w:tcPr>
            <w:tcW w:type="dxa" w:w="3120"/>
            <w:vAlign w:val="top"/>
          </w:tcPr>
          <w:p>
            <w:r>
              <w:rPr>
                <w:rFonts w:ascii="Times New Roman" w:hAnsi="Times New Roman" w:eastAsia="Times New Roman"/>
                <w:b w:val="0"/>
                <w:sz w:val="16"/>
              </w:rPr>
              <w:t>Title/abstract log</w:t>
            </w:r>
          </w:p>
        </w:tc>
        <w:tc>
          <w:tcPr>
            <w:tcW w:type="dxa" w:w="3120"/>
            <w:vAlign w:val="top"/>
          </w:tcPr>
          <w:p>
            <w:r>
              <w:rPr>
                <w:rFonts w:ascii="Times New Roman" w:hAnsi="Times New Roman" w:eastAsia="Times New Roman"/>
                <w:b w:val="0"/>
                <w:sz w:val="16"/>
              </w:rPr>
              <w:t>Canonical ID; source lineage; reviewer and date; Nigeria link; avian laboratory confirmation; eligible evidence type; primary/extractable data; Include/Exclude/Unsure; one reason and note.</w:t>
            </w:r>
          </w:p>
        </w:tc>
        <w:tc>
          <w:tcPr>
            <w:tcW w:type="dxa" w:w="3120"/>
            <w:vAlign w:val="top"/>
          </w:tcPr>
          <w:p>
            <w:r>
              <w:rPr>
                <w:rFonts w:ascii="Times New Roman" w:hAnsi="Times New Roman"/>
                <w:sz w:val="20"/>
              </w:rPr>
              <w:t>Ready; 1,877 records have aggregate title/metadata dispositions, but the exact retained-ID queue from earlier batches must be reconstructed.</w:t>
            </w:r>
          </w:p>
        </w:tc>
      </w:tr>
      <w:tr>
        <w:tc>
          <w:tcPr>
            <w:tcW w:type="dxa" w:w="3120"/>
            <w:vAlign w:val="top"/>
          </w:tcPr>
          <w:p>
            <w:r>
              <w:rPr>
                <w:rFonts w:ascii="Times New Roman" w:hAnsi="Times New Roman" w:eastAsia="Times New Roman"/>
                <w:b w:val="0"/>
                <w:sz w:val="16"/>
              </w:rPr>
              <w:t>Full-text eligibility (T6)</w:t>
            </w:r>
          </w:p>
        </w:tc>
        <w:tc>
          <w:tcPr>
            <w:tcW w:type="dxa" w:w="3120"/>
            <w:vAlign w:val="top"/>
          </w:tcPr>
          <w:p>
            <w:r>
              <w:rPr>
                <w:rFonts w:ascii="Times New Roman" w:hAnsi="Times New Roman" w:eastAsia="Times New Roman"/>
                <w:b w:val="0"/>
                <w:sz w:val="16"/>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sz w:val="20"/>
              </w:rPr>
              <w:t>Ready; 295 provisional candidates await full-text assessment; no final full-text decisions.</w:t>
            </w:r>
          </w:p>
        </w:tc>
      </w:tr>
      <w:tr>
        <w:tc>
          <w:tcPr>
            <w:tcW w:type="dxa" w:w="3120"/>
            <w:vAlign w:val="top"/>
          </w:tcPr>
          <w:p>
            <w:r>
              <w:rPr>
                <w:rFonts w:ascii="Times New Roman" w:hAnsi="Times New Roman" w:eastAsia="Times New Roman"/>
                <w:b w:val="0"/>
                <w:sz w:val="16"/>
              </w:rPr>
              <w:t>Extraction (T1-T5)</w:t>
            </w:r>
          </w:p>
        </w:tc>
        <w:tc>
          <w:tcPr>
            <w:tcW w:type="dxa" w:w="3120"/>
            <w:vAlign w:val="top"/>
          </w:tcPr>
          <w:p>
            <w:r>
              <w:rPr>
                <w:rFonts w:ascii="Times New Roman" w:hAnsi="Times New Roman" w:eastAsia="Times New Roman"/>
                <w:b w:val="0"/>
                <w:sz w:val="16"/>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16"/>
              </w:rPr>
              <w:t>Ready; zero records extracted.</w:t>
            </w:r>
          </w:p>
        </w:tc>
      </w:tr>
      <w:tr>
        <w:tc>
          <w:tcPr>
            <w:tcW w:type="dxa" w:w="3120"/>
            <w:vAlign w:val="top"/>
          </w:tcPr>
          <w:p>
            <w:r>
              <w:rPr>
                <w:rFonts w:ascii="Times New Roman" w:hAnsi="Times New Roman" w:eastAsia="Times New Roman"/>
                <w:b w:val="0"/>
                <w:sz w:val="16"/>
              </w:rPr>
              <w:t>Risk of bias/certainty (T7)</w:t>
            </w:r>
          </w:p>
        </w:tc>
        <w:tc>
          <w:tcPr>
            <w:tcW w:type="dxa" w:w="3120"/>
            <w:vAlign w:val="top"/>
          </w:tcPr>
          <w:p>
            <w:r>
              <w:rPr>
                <w:rFonts w:ascii="Times New Roman" w:hAnsi="Times New Roman" w:eastAsia="Times New Roman"/>
                <w:b w:val="0"/>
                <w:sz w:val="16"/>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16"/>
              </w:rPr>
              <w:t>Ready; zero records appraised.</w:t>
            </w:r>
          </w:p>
        </w:tc>
      </w:tr>
    </w:tbl>
    <w:p>
      <w:r>
        <w:rPr>
          <w:rFonts w:ascii="Times New Roman" w:hAnsi="Times New Roman"/>
          <w:sz w:val="22"/>
        </w:rPr>
        <w:t>Next controlled action: reconstruct and verify the exact retained-ID queue for the earlier batches, then build the 295-record full-text retrieval queue without double counting the B19 duplicate-range pilot. Perform dual-review full-text eligibility with explicit exclusion reasons and dataset-linkage checks. Do not begin wider extraction or risk-of-bias appraisal until full-text eligibility and the retained-ID audit are fixed; do not claim a final PRISMA flow, included-study count, certainty finding or SWiM synthesis until those gates are complete.</w:t>
      </w:r>
    </w:p>
    <w:p>
      <w:pPr>
        <w:pStyle w:val="Heading2"/>
      </w:pPr>
      <w:r>
        <w:t>B5. Adjudicated Batch B5 title/metadata screening update</w:t>
      </w:r>
    </w:p>
    <w:p>
      <w:r>
        <w:t>Batch B5 comprised CAN-0481-CAN-0580 (100 records). R1 retained 10 records and excluded 90; R2 retained 18 and excluded 82. The reviewers differed on 14 records. Applying the prespecified conservative rule, all disagreement records were retained for full-text assessment rather than being forced into exclusion. The final B5 disposition is therefore 21 provisional full-text candidates and 79 exclusions. These are provisional candidates, not final included studies; full-text eligibility remains outstanding.</w:t>
      </w:r>
    </w:p>
    <w:p>
      <w:pPr>
        <w:pStyle w:val="Heading2"/>
      </w:pPr>
      <w:r>
        <w:t>B6. Adjudicated Batch B6 title/metadata screening update</w:t>
      </w:r>
    </w:p>
    <w:p>
      <w:r>
        <w:t>Batch B6 comprised CAN-0581-CAN-0680 (100 records). R1 retained 9 records and excluded 91; R2 retained 17 and excluded 83. The reviewers differed on 8 records. Applying the prespecified conservative rule, all disagreement records were retained for full-text assessment rather than being forced into exclusion. The final B6 disposition is therefore 17 provisional full-text candidates and 83 exclusions. These are provisional candidates, not final included studies; full-text eligibility remains outstanding.</w:t>
      </w:r>
    </w:p>
    <w:p>
      <w:pPr>
        <w:pStyle w:val="Heading2"/>
      </w:pPr>
      <w:r>
        <w:t>B7. Adjudicated Batch B7 title/metadata screening update</w:t>
      </w:r>
    </w:p>
    <w:p>
      <w:r>
        <w:t>Batch B7 comprised CAN-0681-CAN-0780 (100 records). R1 retained 15 records and excluded 85; R2 retained 14 and excluded 86. The reviewers differed on 7 records. Applying the prespecified conservative rule, all disagreement records were retained for full-text assessment rather than being forced into exclusion. The final B7 disposition is therefore 18 provisional full-text candidates and 82 exclusions. These are provisional candidates, not final included studies; full-text eligibility remains outstanding.</w:t>
      </w:r>
    </w:p>
    <w:p>
      <w:pPr>
        <w:pStyle w:val="Heading2"/>
      </w:pPr>
      <w:r>
        <w:t>B8. Adjudicated Batch B8 title/metadata screening update</w:t>
      </w:r>
    </w:p>
    <w:p>
      <w:r>
        <w:t>Batch B8 comprised CAN-0781-CAN-0880 (100 records). R1 retained 7 records and excluded 93; R2 retained 9 and excluded 91. The reviewers differed on 4 records. Applying the prespecified conservative rule, all disagreement records were retained for full-text assessment rather than being forced into exclusion. The final B8 disposition is therefore 10 provisional full-text candidates and 90 exclusions. These are provisional candidates, not final included studies; full-text eligibility remains outstanding.</w:t>
      </w:r>
    </w:p>
    <w:p>
      <w:pPr>
        <w:pStyle w:val="Heading2"/>
      </w:pPr>
      <w:r>
        <w:t>Targeted full-text retrieval pilot</w:t>
      </w:r>
    </w:p>
    <w:p>
      <w:r>
        <w:t>A legitimate retrieval pilot located authoritative or open full-text/metadata sources for four strong B8 candidates: CAN-0782 (Coker et al., 2014; PMID 25671118; DOI 10.1186/2049-9957-3-38), CAN-0825 (Adebiyi et al., 2022; DOI 10.1186/s42269-022-00710-6), CAN-0835 (Ekong et al., 2018; PMID 29631310; DOI 10.12834/VetIt.870.4301.3), and CAN-0846 (Fadiga et al., 2014; DOI 10.13128/BAE-12713). These records remain provisional until full-text eligibility, duplicate/dataset linkage, and extraction checks are completed. No final included-study count is reported.</w:t>
      </w:r>
    </w:p>
    <w:p>
      <w:pPr>
        <w:pStyle w:val="Heading2"/>
      </w:pPr>
      <w:r>
        <w:t>B9. Adjudicated Batch B9 title/metadata screening update</w:t>
      </w:r>
    </w:p>
    <w:p>
      <w:r>
        <w:t>Batch B9 comprised CAN-0881-CAN-0980 (100 records). R1 retained 12 records and excluded 88; R2 retained 14 and excluded 86. The reviewers differed on 4 records. Applying the prespecified conservative rule, all disagreement records were retained for full-text assessment rather than being forced into exclusion. The final B9 disposition is therefore 15 provisional full-text candidates and 85 exclusions. These are provisional candidates, not final included studies; full-text eligibility remains outstanding.</w:t>
      </w:r>
    </w:p>
    <w:p>
      <w:pPr>
        <w:pStyle w:val="Heading2"/>
      </w:pPr>
      <w:r>
        <w:t>B10. Adjudicated Batch B10 title/metadata screening update</w:t>
      </w:r>
    </w:p>
    <w:p>
      <w:r>
        <w:t>Batch B10 comprised CAN-0981-CAN-1080 (100 records). R1 retained 2 records and excluded 98; R2 retained 9 and excluded 91. The reviewers differed on 7 records. Applying the prespecified conservative rule, all disagreement records were retained for full-text assessment rather than being forced into exclusion. The final B10 disposition is therefore 9 provisional full-text candidates and 91 exclusions. These are provisional candidates, not final included studies; full-text eligibility remains outstanding.</w:t>
      </w:r>
    </w:p>
    <w:p>
      <w:pPr>
        <w:pStyle w:val="Heading2"/>
      </w:pPr>
      <w:r>
        <w:t>B11. Adjudicated Batch B11 title/metadata screening update</w:t>
      </w:r>
    </w:p>
    <w:p>
      <w:r>
        <w:t>Batch B11 comprised CAN-1081-CAN-1180 (100 records). R1 retained 4 records and excluded 96; R2 retained 7 and excluded 93. The reviewers differed on 5 records. Applying the prespecified conservative rule, all disagreement records were retained for full-text assessment rather than being forced into exclusion. The final B11 disposition is therefore 8 provisional full-text candidates and 92 exclusions. These are provisional candidates, not final included studies; full-text eligibility remains outstanding.</w:t>
      </w:r>
    </w:p>
    <w:p>
      <w:pPr>
        <w:pStyle w:val="Heading2"/>
      </w:pPr>
      <w:r>
        <w:t>B12. Adjudicated Batch B12 title/metadata screening update</w:t>
      </w:r>
    </w:p>
    <w:p>
      <w:r>
        <w:t>Batch B12 comprised CAN-1181-CAN-1280 (100 records). R1 retained 6 records and excluded 94; R2 retained 6 and excluded 94. The reviewers differed on 8 records. Applying the prespecified conservative rule, all disagreement records were retained for full-text assessment rather than being forced into exclusion. The final B12 disposition is therefore 10 provisional full-text candidates and 90 exclusions. These are provisional candidates, not final included studies; full-text eligibility remains outstanding.</w:t>
      </w:r>
    </w:p>
    <w:p>
      <w:pPr>
        <w:pStyle w:val="Heading2"/>
      </w:pPr>
      <w:r>
        <w:t>B13. Adjudicated Batch B13 title/metadata screening update</w:t>
      </w:r>
    </w:p>
    <w:p>
      <w:r>
        <w:t>Batch B13 comprised CAN-1281-CAN-1380 (100 records). R1 retained 8 records and excluded 92; R2 retained 7 and excluded 93. The reviewers differed on 5 records. Applying the prespecified conservative rule, all disagreement records were retained for full-text assessment rather than being forced into exclusion. The final B13 disposition is therefore 10 provisional full-text candidates and 90 exclusions. These are provisional candidates, not final included studies; full-text eligibility remains outstanding.</w:t>
      </w:r>
    </w:p>
    <w:p>
      <w:pPr>
        <w:pStyle w:val="Heading2"/>
      </w:pPr>
      <w:r>
        <w:t>B14. Adjudicated Batch B14 title/metadata screening update</w:t>
      </w:r>
    </w:p>
    <w:p>
      <w:r>
        <w:t>Batch B14 comprised CAN-1381-CAN-1480 (100 records). R1 and R2 had exact agreement: each retained 9 records and excluded 91. No disagreements occurred. The final B14 disposition is therefore 9 provisional full-text candidates and 91 exclusions. These are provisional candidates, not final included studies; full-text eligibility remains outstanding.</w:t>
      </w:r>
    </w:p>
    <w:p>
      <w:pPr>
        <w:pStyle w:val="Heading2"/>
      </w:pPr>
      <w:r>
        <w:t>B15. Adjudicated Batch B15 title/metadata screening update</w:t>
      </w:r>
    </w:p>
    <w:p>
      <w:r>
        <w:t>Batch B15 comprised CAN-1481-CAN-1580 (100 records). R1 retained 5 records and excluded 95; R2 retained 8 and excluded 92. The reviewers differed on 6 records. Applying the prespecified conservative rule, all disagreement records were retained for full-text assessment rather than being forced into exclusion. The final B15 disposition is therefore 9 provisional full-text candidates and 91 exclusions. These are provisional candidates, not final included studies; full-text eligibility remains outstanding.</w:t>
      </w:r>
    </w:p>
    <w:p>
      <w:pPr>
        <w:pStyle w:val="Heading2"/>
      </w:pPr>
      <w:r>
        <w:t>B16. Adjudicated Batch B16 title/metadata screening update</w:t>
      </w:r>
    </w:p>
    <w:p>
      <w:r>
        <w:t>Batch B16 comprised CAN-1581–CAN-1680 (100 records). R1 retained 16 records and excluded 84; R2 retained 15 and excluded 85. The reviewers differed on 5 records. Applying the prespecified conservative rule, all disagreement records were retained for full-text assessment rather than being forced into exclusion. The final B16 disposition is therefore 18 provisional full-text candidates and 82 exclusions. These are provisional candidates, not final included studies; full-text eligibility remains outstanding.</w:t>
      </w:r>
    </w:p>
    <w:p>
      <w:pPr>
        <w:pStyle w:val="Heading2"/>
      </w:pPr>
      <w:r>
        <w:t>B17. Adjudicated Batch B17 title/metadata screening update</w:t>
      </w:r>
    </w:p>
    <w:p>
      <w:r>
        <w:t>Batch B17 comprised CAN-1681–CAN-1780 (100 records). R1 retained 35 records and excluded 65; R2 retained 23 and excluded 77. All 23 R2 retains were also retained by R1; the reviewers differed on 12 records. Applying the prespecified conservative rule, those 12 R1-only records remained in the full-text queue. The final B17 disposition is therefore 35 provisional full-text candidates and 65 exclusions. These are provisional candidates, not final included studies; full-text eligibility remains outstanding.</w:t>
      </w:r>
    </w:p>
    <w:p>
      <w:pPr>
        <w:pStyle w:val="Heading2"/>
      </w:pPr>
      <w:r>
        <w:t>B18. Adjudicated Batch B18 title/metadata screening update</w:t>
      </w:r>
    </w:p>
    <w:p>
      <w:r>
        <w:t>Batch B18 comprised CAN-1781–CAN-1877 (97 records), the end of the canonical register. R1 retained 18 records and excluded 79; R2 retained 11 and excluded 86. The reviewers differed on 9 records. Applying the prespecified conservative rule, all disagreement records were retained for full-text assessment. The final B18 disposition is therefore 19 provisional full-text candidates and 78 exclusions. These are provisional candidates, not final included studies; full-text eligibility remains outstanding.</w:t>
      </w:r>
    </w:p>
    <w:p>
      <w:pPr>
        <w:pStyle w:val="Heading2"/>
      </w:pPr>
      <w:r>
        <w:rPr>
          <w:rFonts w:ascii="Times New Roman" w:hAnsi="Times New Roman"/>
          <w:sz w:val="22"/>
        </w:rPr>
        <w:t>B19. Duplicate-range audit and retrieval pilot</w:t>
      </w:r>
    </w:p>
    <w:p>
      <w:r>
        <w:rPr>
          <w:rFonts w:ascii="Times New Roman" w:hAnsi="Times New Roman"/>
          <w:sz w:val="22"/>
        </w:rPr>
        <w:t>The earlier B19 pass screened CAN-0241-CAN-0280, a range already covered by B3. It therefore contributes zero new unique identities and must not be added to the 1,877-record denominator. Its 8-record retrieval/extraction pilot remains useful as a method calibration, but its provisional exclusions and retains are not new B19 screening counts. The true uncovered range was CAN-0341-CAN-0380 and is recorded below as B20.</w:t>
      </w:r>
    </w:p>
    <w:p>
      <w:pPr>
        <w:pStyle w:val="Heading2"/>
      </w:pPr>
      <w:r>
        <w:t>B19 full-text retrieval and eligibility pilot</w:t>
      </w:r>
    </w:p>
    <w:p>
      <w:r>
        <w:rPr>
          <w:rFonts w:ascii="Times New Roman" w:hAnsi="Times New Roman"/>
          <w:sz w:val="22"/>
        </w:rPr>
        <w:t>A targeted evidence pilot was conducted on eight records from the duplicate-range B19 audit using PubMed, institutional repositories, an open full-text article, and an institutional dissertation record. This pilot does not change the 295-record provisional full-text queue or create a final included-study count. It demonstrates the evidence rule for the next gate: final full-text decisions require the complete article or a documented retrieval failure, and duplicate/dataset linkage must still be checked.</w:t>
      </w:r>
    </w:p>
    <w:tbl>
      <w:tblPr>
        <w:tblW w:type="auto" w:w="0"/>
        <w:tblLook w:firstColumn="1" w:firstRow="1" w:lastColumn="0" w:lastRow="0" w:noHBand="0" w:noVBand="1" w:val="04A0"/>
      </w:tblPr>
      <w:tblGrid>
        <w:gridCol w:w="2340"/>
        <w:gridCol w:w="2340"/>
        <w:gridCol w:w="2340"/>
        <w:gridCol w:w="2340"/>
      </w:tblGrid>
      <w:tr>
        <w:tc>
          <w:tcPr>
            <w:tcW w:type="dxa" w:w="2340"/>
          </w:tcPr>
          <w:p>
            <w:r>
              <w:t>Candidate</w:t>
            </w:r>
          </w:p>
        </w:tc>
        <w:tc>
          <w:tcPr>
            <w:tcW w:type="dxa" w:w="2340"/>
          </w:tcPr>
          <w:p>
            <w:r>
              <w:t>Evidence located</w:t>
            </w:r>
          </w:p>
        </w:tc>
        <w:tc>
          <w:tcPr>
            <w:tcW w:type="dxa" w:w="2340"/>
          </w:tcPr>
          <w:p>
            <w:r>
              <w:t>Pilot disposition</w:t>
            </w:r>
          </w:p>
        </w:tc>
        <w:tc>
          <w:tcPr>
            <w:tcW w:type="dxa" w:w="2340"/>
          </w:tcPr>
          <w:p>
            <w:r>
              <w:t>Next action</w:t>
            </w:r>
          </w:p>
        </w:tc>
      </w:tr>
      <w:tr>
        <w:tc>
          <w:tcPr>
            <w:tcW w:type="dxa" w:w="2340"/>
          </w:tcPr>
          <w:p>
            <w:r>
              <w:t>CAN-0243</w:t>
            </w:r>
          </w:p>
        </w:tc>
        <w:tc>
          <w:tcPr>
            <w:tcW w:type="dxa" w:w="2340"/>
          </w:tcPr>
          <w:p>
            <w:r>
              <w:t>PubMed abstract; DOI 10.1016/j.prevetmed.2010.11.007</w:t>
            </w:r>
          </w:p>
        </w:tc>
        <w:tc>
          <w:tcPr>
            <w:tcW w:type="dxa" w:w="2340"/>
          </w:tcPr>
          <w:p>
            <w:r>
              <w:t>Retain for full-text eligibility; Nigeria case-control evidence is supported.</w:t>
            </w:r>
          </w:p>
        </w:tc>
        <w:tc>
          <w:tcPr>
            <w:tcW w:type="dxa" w:w="2340"/>
          </w:tcPr>
          <w:p>
            <w:r>
              <w:t>Retrieve article; extract design, sample, exposures and estimates.</w:t>
            </w:r>
          </w:p>
        </w:tc>
      </w:tr>
      <w:tr>
        <w:tc>
          <w:tcPr>
            <w:tcW w:type="dxa" w:w="2340"/>
          </w:tcPr>
          <w:p>
            <w:r>
              <w:t>CAN-0244</w:t>
            </w:r>
          </w:p>
        </w:tc>
        <w:tc>
          <w:tcPr>
            <w:tcW w:type="dxa" w:w="2340"/>
          </w:tcPr>
          <w:p>
            <w:r>
              <w:t>Open institutional PDF; DOI 10.1016/j.prevetmed.2011.10.001</w:t>
            </w:r>
          </w:p>
        </w:tc>
        <w:tc>
          <w:tcPr>
            <w:tcW w:type="dxa" w:w="2340"/>
          </w:tcPr>
          <w:p>
            <w:r>
              <w:t>Retain for full-text eligibility; Nigeria spatio-temporal outbreak evidence is supported.</w:t>
            </w:r>
          </w:p>
        </w:tc>
        <w:tc>
          <w:tcPr>
            <w:tcW w:type="dxa" w:w="2340"/>
          </w:tcPr>
          <w:p>
            <w:r>
              <w:t>Check full text for dataset overlap and extract spatial/temporal methods.</w:t>
            </w:r>
          </w:p>
        </w:tc>
      </w:tr>
      <w:tr>
        <w:tc>
          <w:tcPr>
            <w:tcW w:type="dxa" w:w="2340"/>
          </w:tcPr>
          <w:p>
            <w:r>
              <w:t>CAN-0245</w:t>
            </w:r>
          </w:p>
        </w:tc>
        <w:tc>
          <w:tcPr>
            <w:tcW w:type="dxa" w:w="2340"/>
          </w:tcPr>
          <w:p>
            <w:r>
              <w:t>Institutional dissertation record; DOI 10.1016/j.prevetmed.2014.04.003</w:t>
            </w:r>
          </w:p>
        </w:tc>
        <w:tc>
          <w:tcPr>
            <w:tcW w:type="dxa" w:w="2340"/>
          </w:tcPr>
          <w:p>
            <w:r>
              <w:t>Retrieval unresolved; title supports Nigeria risk-assessment relevance.</w:t>
            </w:r>
          </w:p>
        </w:tc>
        <w:tc>
          <w:tcPr>
            <w:tcW w:type="dxa" w:w="2340"/>
          </w:tcPr>
          <w:p>
            <w:r>
              <w:t>Retrieve dissertation/full text and confirm primary data and eligibility.</w:t>
            </w:r>
          </w:p>
        </w:tc>
      </w:tr>
      <w:tr>
        <w:tc>
          <w:tcPr>
            <w:tcW w:type="dxa" w:w="2340"/>
          </w:tcPr>
          <w:p>
            <w:r>
              <w:t>CAN-0246</w:t>
            </w:r>
          </w:p>
        </w:tc>
        <w:tc>
          <w:tcPr>
            <w:tcW w:type="dxa" w:w="2340"/>
          </w:tcPr>
          <w:p>
            <w:r>
              <w:t>Open RVC manuscript PDF and PubMed abstract; DOI 10.1016/j.prevetmed.2016.05.003</w:t>
            </w:r>
          </w:p>
        </w:tc>
        <w:tc>
          <w:tcPr>
            <w:tcW w:type="dxa" w:w="2340"/>
          </w:tcPr>
          <w:p>
            <w:r>
              <w:t>Retain for full-text eligibility; Nigeria passive-surveillance study is supported.</w:t>
            </w:r>
          </w:p>
        </w:tc>
        <w:tc>
          <w:tcPr>
            <w:tcW w:type="dxa" w:w="2340"/>
          </w:tcPr>
          <w:p>
            <w:r>
              <w:t>Verify manuscript version against final article and extract model inputs/results.</w:t>
            </w:r>
          </w:p>
        </w:tc>
      </w:tr>
      <w:tr>
        <w:tc>
          <w:tcPr>
            <w:tcW w:type="dxa" w:w="2340"/>
          </w:tcPr>
          <w:p>
            <w:r>
              <w:t>CAN-0258</w:t>
            </w:r>
          </w:p>
        </w:tc>
        <w:tc>
          <w:tcPr>
            <w:tcW w:type="dxa" w:w="2340"/>
          </w:tcPr>
          <w:p>
            <w:r>
              <w:t>PubMed/PMC full text; DOI 10.1016/j.psj.2022.102156</w:t>
            </w:r>
          </w:p>
        </w:tc>
        <w:tc>
          <w:tcPr>
            <w:tcW w:type="dxa" w:w="2340"/>
          </w:tcPr>
          <w:p>
            <w:r>
              <w:t>Provisional full-text exclusion: study is based in Egypt, not Nigeria.</w:t>
            </w:r>
          </w:p>
        </w:tc>
        <w:tc>
          <w:tcPr>
            <w:tcW w:type="dxa" w:w="2340"/>
          </w:tcPr>
          <w:p>
            <w:r>
              <w:t>Record final exclusion after duplicate check; do not include in Nigeria synthesis.</w:t>
            </w:r>
          </w:p>
        </w:tc>
      </w:tr>
      <w:tr>
        <w:tc>
          <w:tcPr>
            <w:tcW w:type="dxa" w:w="2340"/>
          </w:tcPr>
          <w:p>
            <w:r>
              <w:t>CAN-0266</w:t>
            </w:r>
          </w:p>
        </w:tc>
        <w:tc>
          <w:tcPr>
            <w:tcW w:type="dxa" w:w="2340"/>
          </w:tcPr>
          <w:p>
            <w:r>
              <w:t>PubMed record; DOI 10.1016/j.rvsc.2018.06.006</w:t>
            </w:r>
          </w:p>
        </w:tc>
        <w:tc>
          <w:tcPr>
            <w:tcW w:type="dxa" w:w="2340"/>
          </w:tcPr>
          <w:p>
            <w:r>
              <w:t>Retain for full-text eligibility; Nigeria surveillance/control cost assessment is supported.</w:t>
            </w:r>
          </w:p>
        </w:tc>
        <w:tc>
          <w:tcPr>
            <w:tcW w:type="dxa" w:w="2340"/>
          </w:tcPr>
          <w:p>
            <w:r>
              <w:t>Retrieve article and confirm whether eligible epidemiologic inputs are extractable.</w:t>
            </w:r>
          </w:p>
        </w:tc>
      </w:tr>
      <w:tr>
        <w:tc>
          <w:tcPr>
            <w:tcW w:type="dxa" w:w="2340"/>
          </w:tcPr>
          <w:p>
            <w:r>
              <w:t>CAN-0269</w:t>
            </w:r>
          </w:p>
        </w:tc>
        <w:tc>
          <w:tcPr>
            <w:tcW w:type="dxa" w:w="2340"/>
          </w:tcPr>
          <w:p>
            <w:r>
              <w:t>Open institutional full text; DOI 10.1016/j.scitotenv.2024.173692</w:t>
            </w:r>
          </w:p>
        </w:tc>
        <w:tc>
          <w:tcPr>
            <w:tcW w:type="dxa" w:w="2340"/>
          </w:tcPr>
          <w:p>
            <w:r>
              <w:t>Provisional full-text exclusion: article identifies itself as a review, not primary Nigeria evidence.</w:t>
            </w:r>
          </w:p>
        </w:tc>
        <w:tc>
          <w:tcPr>
            <w:tcW w:type="dxa" w:w="2340"/>
          </w:tcPr>
          <w:p>
            <w:r>
              <w:t>Record final exclusion after duplicate check.</w:t>
            </w:r>
          </w:p>
        </w:tc>
      </w:tr>
      <w:tr>
        <w:tc>
          <w:tcPr>
            <w:tcW w:type="dxa" w:w="2340"/>
          </w:tcPr>
          <w:p>
            <w:r>
              <w:t>CAN-0275</w:t>
            </w:r>
          </w:p>
        </w:tc>
        <w:tc>
          <w:tcPr>
            <w:tcW w:type="dxa" w:w="2340"/>
          </w:tcPr>
          <w:p>
            <w:r>
              <w:t>PubMed abstract; DOI 10.1016/j.trstmh.2008.01.016</w:t>
            </w:r>
          </w:p>
        </w:tc>
        <w:tc>
          <w:tcPr>
            <w:tcW w:type="dxa" w:w="2340"/>
          </w:tcPr>
          <w:p>
            <w:r>
              <w:t>Retain for full-text eligibility; Nigeria/West Africa ecological modelling is supported.</w:t>
            </w:r>
          </w:p>
        </w:tc>
        <w:tc>
          <w:tcPr>
            <w:tcW w:type="dxa" w:w="2340"/>
          </w:tcPr>
          <w:p>
            <w:r>
              <w:t>Retrieve article and extract occurrence data, covariates and model validation.</w:t>
            </w:r>
          </w:p>
        </w:tc>
      </w:tr>
    </w:tbl>
    <w:p>
      <w:r>
        <w:t>Pilot outcome: 2 provisional full-text exclusions supported by accessible full text, 5 candidates with direct Nigeria-relevant evidence requiring full-text extraction/eligibility confirmation, and 1 candidate with unresolved dissertation retrieval. These pilot decisions are not the final review counts.</w:t>
      </w:r>
    </w:p>
    <w:p>
      <w:pPr>
        <w:pStyle w:val="Heading2"/>
      </w:pPr>
      <w:r>
        <w:t>B19 extraction calibration pilot</w:t>
      </w:r>
    </w:p>
    <w:p>
      <w:r>
        <w:t>The following calibration fields are recorded to test the extraction structure before wider use. Abstract-level fields are marked as such and must not be treated as complete extraction. No risk-of-bias judgement or final synthesis conclusion is assigned at this stage.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Candidate</w:t>
            </w:r>
          </w:p>
        </w:tc>
        <w:tc>
          <w:tcPr>
            <w:tcW w:type="dxa" w:w="1872"/>
          </w:tcPr>
          <w:p>
            <w:r>
              <w:t>Evidence level</w:t>
            </w:r>
          </w:p>
        </w:tc>
        <w:tc>
          <w:tcPr>
            <w:tcW w:type="dxa" w:w="1872"/>
          </w:tcPr>
          <w:p>
            <w:r>
              <w:t>Design/setting</w:t>
            </w:r>
          </w:p>
        </w:tc>
        <w:tc>
          <w:tcPr>
            <w:tcW w:type="dxa" w:w="1872"/>
          </w:tcPr>
          <w:p>
            <w:r>
              <w:t>Population or data</w:t>
            </w:r>
          </w:p>
        </w:tc>
        <w:tc>
          <w:tcPr>
            <w:tcW w:type="dxa" w:w="1872"/>
          </w:tcPr>
          <w:p>
            <w:r>
              <w:t>Extracted result / pending item</w:t>
            </w:r>
          </w:p>
        </w:tc>
      </w:tr>
      <w:tr>
        <w:tc>
          <w:tcPr>
            <w:tcW w:type="dxa" w:w="1872"/>
          </w:tcPr>
          <w:p>
            <w:r>
              <w:t>CAN-0243</w:t>
            </w:r>
          </w:p>
        </w:tc>
        <w:tc>
          <w:tcPr>
            <w:tcW w:type="dxa" w:w="1872"/>
          </w:tcPr>
          <w:p>
            <w:r>
              <w:t>PubMed abstract</w:t>
            </w:r>
          </w:p>
        </w:tc>
        <w:tc>
          <w:tcPr>
            <w:tcW w:type="dxa" w:w="1872"/>
          </w:tcPr>
          <w:p>
            <w:r>
              <w:t>Matched case-control; Nigerian poultry farms, 2006–2007 H5N1 epidemic.</w:t>
            </w:r>
          </w:p>
        </w:tc>
        <w:tc>
          <w:tcPr>
            <w:tcW w:type="dxa" w:w="1872"/>
          </w:tcPr>
          <w:p>
            <w:r>
              <w:t>32 case farms; 83 control farms.</w:t>
            </w:r>
          </w:p>
        </w:tc>
        <w:tc>
          <w:tcPr>
            <w:tcW w:type="dxa" w:w="1872"/>
          </w:tcPr>
          <w:p>
            <w:r>
              <w:t>Visitors, purchased live poultry/products, and workers living off-farm were reported risk factors; retrieve article for sampling and model details.</w:t>
            </w:r>
          </w:p>
        </w:tc>
      </w:tr>
      <w:tr>
        <w:tc>
          <w:tcPr>
            <w:tcW w:type="dxa" w:w="1872"/>
          </w:tcPr>
          <w:p>
            <w:r>
              <w:t>CAN-0244</w:t>
            </w:r>
          </w:p>
        </w:tc>
        <w:tc>
          <w:tcPr>
            <w:tcW w:type="dxa" w:w="1872"/>
          </w:tcPr>
          <w:p>
            <w:r>
              <w:t>Open full article</w:t>
            </w:r>
          </w:p>
        </w:tc>
        <w:tc>
          <w:tcPr>
            <w:tcW w:type="dxa" w:w="1872"/>
          </w:tcPr>
          <w:p>
            <w:r>
              <w:t>Retrospective outbreak-database analysis; Nigeria, 2006–2008.</w:t>
            </w:r>
          </w:p>
        </w:tc>
        <w:tc>
          <w:tcPr>
            <w:tcW w:type="dxa" w:w="1872"/>
          </w:tcPr>
          <w:p>
            <w:r>
              <w:t>1,654 suspected outbreaks; 299 laboratory-confirmed H5N1 outbreaks from 27 states and FCT.</w:t>
            </w:r>
          </w:p>
        </w:tc>
        <w:tc>
          <w:tcPr>
            <w:tcW w:type="dxa" w:w="1872"/>
          </w:tcPr>
          <w:p>
            <w:r>
              <w:t>Three significant spatio-temporal clusters; extract complete cluster definitions, uncertainty and dataset-linkage fields.</w:t>
            </w:r>
          </w:p>
        </w:tc>
      </w:tr>
      <w:tr>
        <w:tc>
          <w:tcPr>
            <w:tcW w:type="dxa" w:w="1872"/>
          </w:tcPr>
          <w:p>
            <w:r>
              <w:t>CAN-0246</w:t>
            </w:r>
          </w:p>
        </w:tc>
        <w:tc>
          <w:tcPr>
            <w:tcW w:type="dxa" w:w="1872"/>
          </w:tcPr>
          <w:p>
            <w:r>
              <w:t>Open author manuscript plus PubMed abstract</w:t>
            </w:r>
          </w:p>
        </w:tc>
        <w:tc>
          <w:tcPr>
            <w:tcW w:type="dxa" w:w="1872"/>
          </w:tcPr>
          <w:p>
            <w:r>
              <w:t>Field study and scenario-tree model; commercial/backyard chicken farms in Bayelsa State.</w:t>
            </w:r>
          </w:p>
        </w:tc>
        <w:tc>
          <w:tcPr>
            <w:tcW w:type="dxa" w:w="1872"/>
          </w:tcPr>
          <w:p>
            <w:r>
              <w:t>Yenegoa and Ogbia LGAs; reporting and farming-practice observations.</w:t>
            </w:r>
          </w:p>
        </w:tc>
        <w:tc>
          <w:tcPr>
            <w:tcW w:type="dxa" w:w="1872"/>
          </w:tcPr>
          <w:p>
            <w:r>
              <w:t>Median passive-surveillance sensitivity reported as 100%, 67% and 23% under stated prevalence scenarios; verify denominator and model assumptions.</w:t>
            </w:r>
          </w:p>
        </w:tc>
      </w:tr>
      <w:tr>
        <w:tc>
          <w:tcPr>
            <w:tcW w:type="dxa" w:w="1872"/>
          </w:tcPr>
          <w:p>
            <w:r>
              <w:t>CAN-0266</w:t>
            </w:r>
          </w:p>
        </w:tc>
        <w:tc>
          <w:tcPr>
            <w:tcW w:type="dxa" w:w="1872"/>
          </w:tcPr>
          <w:p>
            <w:r>
              <w:t>PubMed abstract</w:t>
            </w:r>
          </w:p>
        </w:tc>
        <w:tc>
          <w:tcPr>
            <w:tcW w:type="dxa" w:w="1872"/>
          </w:tcPr>
          <w:p>
            <w:r>
              <w:t>Benefit-cost analysis of H5N1 outbreak and surveillance costs in Nigeria.</w:t>
            </w:r>
          </w:p>
        </w:tc>
        <w:tc>
          <w:tcPr>
            <w:tcW w:type="dxa" w:w="1872"/>
          </w:tcPr>
          <w:p>
            <w:r>
              <w:t>Field, government, repository and peer-reviewed inputs; bird losses and surveillance costs.</w:t>
            </w:r>
          </w:p>
        </w:tc>
        <w:tc>
          <w:tcPr>
            <w:tcW w:type="dxa" w:w="1872"/>
          </w:tcPr>
          <w:p>
            <w:r>
              <w:t>Direct bird-death cost and modelled annual loss estimates are reported; retrieve article to extract perspective, time horizon, costing and sensitivity analysis.</w:t>
            </w:r>
          </w:p>
        </w:tc>
      </w:tr>
      <w:tr>
        <w:tc>
          <w:tcPr>
            <w:tcW w:type="dxa" w:w="1872"/>
          </w:tcPr>
          <w:p>
            <w:r>
              <w:t>CAN-0275</w:t>
            </w:r>
          </w:p>
        </w:tc>
        <w:tc>
          <w:tcPr>
            <w:tcW w:type="dxa" w:w="1872"/>
          </w:tcPr>
          <w:p>
            <w:r>
              <w:t>PubMed abstract</w:t>
            </w:r>
          </w:p>
        </w:tc>
        <w:tc>
          <w:tcPr>
            <w:tcW w:type="dxa" w:w="1872"/>
          </w:tcPr>
          <w:p>
            <w:r>
              <w:t>Ecological niche modelling of H5N1 transmission in Nigeria and West Africa.</w:t>
            </w:r>
          </w:p>
        </w:tc>
        <w:tc>
          <w:tcPr>
            <w:tcW w:type="dxa" w:w="1872"/>
          </w:tcPr>
          <w:p>
            <w:r>
              <w:t>Nigerian H5N1 occurrence data with 1-km environmental layers.</w:t>
            </w:r>
          </w:p>
        </w:tc>
        <w:tc>
          <w:tcPr>
            <w:tcW w:type="dxa" w:w="1872"/>
          </w:tcPr>
          <w:p>
            <w:r>
              <w:t>Environmental conditions predicted occurrence; retrieve article to extract occurrence dates, spatial validation and model limitations.</w:t>
            </w:r>
          </w:p>
        </w:tc>
      </w:tr>
    </w:tbl>
    <w:p>
      <w:r>
        <w:rPr>
          <w:rFonts w:ascii="Times New Roman" w:hAnsi="Times New Roman"/>
          <w:sz w:val="22"/>
        </w:rPr>
        <w:t>Calibration gate: the extraction form is usable for surveillance, spatio-temporal, risk-factor, economic and ecological-modelling evidence, but the wider extraction phase remains unopened until the 295-record queue, exact retained-ID reconstruction and full-text eligibility are reconciled.</w:t>
      </w:r>
    </w:p>
    <w:p>
      <w:pPr>
        <w:pStyle w:val="Heading2"/>
      </w:pPr>
      <w:r>
        <w:rPr>
          <w:rFonts w:ascii="Times New Roman" w:hAnsi="Times New Roman"/>
          <w:sz w:val="22"/>
        </w:rPr>
        <w:t>B20. Corrected true-gap title/metadata screening update</w:t>
      </w:r>
    </w:p>
    <w:p>
      <w:r>
        <w:rPr>
          <w:rFonts w:ascii="Times New Roman" w:hAnsi="Times New Roman"/>
          <w:sz w:val="22"/>
        </w:rPr>
        <w:t>B20 screened the actual uncovered canonical range CAN-0341-CAN-0380 (40 records). R1 retained CAN-0344, CAN-0345, CAN-0359 and CAN-0379 and excluded 36. R2 retained CAN-0344, CAN-0356, CAN-0359 and CAN-0379 and excluded 36. The only disagreement was a two-record decision swap: CAN-0345 versus CAN-0356. Source verification confirmed that CAN-0345 reports surveillance sites in seven Central/West African countries without Nigeria, so it was excluded; CAN-0356 reports Nigerian H5N1 occurrence in a primary geospatial analysis and was retained for full-text verification. Final B20 disposition: 4 provisional full-text candidates and 36 exclusions. This closes the unique-register coverage gap but does not itself reconstruct exact retained IDs from earlier batches.</w:t>
      </w:r>
    </w:p>
    <w:tbl>
      <w:tblPr>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sz w:val="20"/>
              </w:rPr>
              <w:t>B20 record-level screen</w:t>
            </w:r>
          </w:p>
        </w:tc>
        <w:tc>
          <w:tcPr>
            <w:tcW w:type="dxa" w:w="3120"/>
          </w:tcPr>
          <w:p>
            <w:r>
              <w:rPr>
                <w:rFonts w:ascii="Times New Roman" w:hAnsi="Times New Roman"/>
                <w:sz w:val="20"/>
              </w:rPr>
              <w:t>Count</w:t>
            </w:r>
          </w:p>
        </w:tc>
        <w:tc>
          <w:tcPr>
            <w:tcW w:type="dxa" w:w="3120"/>
          </w:tcPr>
          <w:p>
            <w:r>
              <w:rPr>
                <w:rFonts w:ascii="Times New Roman" w:hAnsi="Times New Roman"/>
                <w:sz w:val="20"/>
              </w:rPr>
              <w:t>IDs / adjudication</w:t>
            </w:r>
          </w:p>
        </w:tc>
      </w:tr>
      <w:tr>
        <w:tc>
          <w:tcPr>
            <w:tcW w:type="dxa" w:w="3120"/>
          </w:tcPr>
          <w:p>
            <w:r>
              <w:rPr>
                <w:rFonts w:ascii="Times New Roman" w:hAnsi="Times New Roman"/>
                <w:sz w:val="20"/>
              </w:rPr>
              <w:t>R1 retained</w:t>
            </w:r>
          </w:p>
        </w:tc>
        <w:tc>
          <w:tcPr>
            <w:tcW w:type="dxa" w:w="3120"/>
          </w:tcPr>
          <w:p>
            <w:r>
              <w:rPr>
                <w:rFonts w:ascii="Times New Roman" w:hAnsi="Times New Roman"/>
                <w:sz w:val="20"/>
              </w:rPr>
              <w:t>4</w:t>
            </w:r>
          </w:p>
        </w:tc>
        <w:tc>
          <w:tcPr>
            <w:tcW w:type="dxa" w:w="3120"/>
          </w:tcPr>
          <w:p>
            <w:r>
              <w:rPr>
                <w:rFonts w:ascii="Times New Roman" w:hAnsi="Times New Roman"/>
                <w:sz w:val="20"/>
              </w:rPr>
              <w:t>CAN-0344, CAN-0345, CAN-0359, CAN-0379</w:t>
            </w:r>
          </w:p>
        </w:tc>
      </w:tr>
      <w:tr>
        <w:tc>
          <w:tcPr>
            <w:tcW w:type="dxa" w:w="3120"/>
          </w:tcPr>
          <w:p>
            <w:r>
              <w:rPr>
                <w:rFonts w:ascii="Times New Roman" w:hAnsi="Times New Roman"/>
                <w:sz w:val="20"/>
              </w:rPr>
              <w:t>R2 retained</w:t>
            </w:r>
          </w:p>
        </w:tc>
        <w:tc>
          <w:tcPr>
            <w:tcW w:type="dxa" w:w="3120"/>
          </w:tcPr>
          <w:p>
            <w:r>
              <w:rPr>
                <w:rFonts w:ascii="Times New Roman" w:hAnsi="Times New Roman"/>
                <w:sz w:val="20"/>
              </w:rPr>
              <w:t>4</w:t>
            </w:r>
          </w:p>
        </w:tc>
        <w:tc>
          <w:tcPr>
            <w:tcW w:type="dxa" w:w="3120"/>
          </w:tcPr>
          <w:p>
            <w:r>
              <w:rPr>
                <w:rFonts w:ascii="Times New Roman" w:hAnsi="Times New Roman"/>
                <w:sz w:val="20"/>
              </w:rPr>
              <w:t>CAN-0344, CAN-0356, CAN-0359, CAN-0379</w:t>
            </w:r>
          </w:p>
        </w:tc>
      </w:tr>
      <w:tr>
        <w:tc>
          <w:tcPr>
            <w:tcW w:type="dxa" w:w="3120"/>
          </w:tcPr>
          <w:p>
            <w:r>
              <w:rPr>
                <w:rFonts w:ascii="Times New Roman" w:hAnsi="Times New Roman"/>
                <w:sz w:val="20"/>
              </w:rPr>
              <w:t>Adjudicated retained</w:t>
            </w:r>
          </w:p>
        </w:tc>
        <w:tc>
          <w:tcPr>
            <w:tcW w:type="dxa" w:w="3120"/>
          </w:tcPr>
          <w:p>
            <w:r>
              <w:rPr>
                <w:rFonts w:ascii="Times New Roman" w:hAnsi="Times New Roman"/>
                <w:sz w:val="20"/>
              </w:rPr>
              <w:t>4</w:t>
            </w:r>
          </w:p>
        </w:tc>
        <w:tc>
          <w:tcPr>
            <w:tcW w:type="dxa" w:w="3120"/>
          </w:tcPr>
          <w:p>
            <w:r>
              <w:rPr>
                <w:rFonts w:ascii="Times New Roman" w:hAnsi="Times New Roman"/>
                <w:sz w:val="20"/>
              </w:rPr>
              <w:t>CAN-0344, CAN-0356, CAN-0359, CAN-0379</w:t>
            </w:r>
          </w:p>
        </w:tc>
      </w:tr>
      <w:tr>
        <w:tc>
          <w:tcPr>
            <w:tcW w:type="dxa" w:w="3120"/>
          </w:tcPr>
          <w:p>
            <w:r>
              <w:rPr>
                <w:rFonts w:ascii="Times New Roman" w:hAnsi="Times New Roman"/>
                <w:sz w:val="20"/>
              </w:rPr>
              <w:t>Adjudicated exclusions</w:t>
            </w:r>
          </w:p>
        </w:tc>
        <w:tc>
          <w:tcPr>
            <w:tcW w:type="dxa" w:w="3120"/>
          </w:tcPr>
          <w:p>
            <w:r>
              <w:rPr>
                <w:rFonts w:ascii="Times New Roman" w:hAnsi="Times New Roman"/>
                <w:sz w:val="20"/>
              </w:rPr>
              <w:t>36</w:t>
            </w:r>
          </w:p>
        </w:tc>
        <w:tc>
          <w:tcPr>
            <w:tcW w:type="dxa" w:w="3120"/>
          </w:tcPr>
          <w:p>
            <w:r>
              <w:rPr>
                <w:rFonts w:ascii="Times New Roman" w:hAnsi="Times New Roman"/>
                <w:sz w:val="20"/>
              </w:rPr>
              <w:t>All remaining IDs in CAN-0341-CAN-0380; CAN-0345 excluded after source verification</w:t>
            </w:r>
          </w:p>
        </w:tc>
      </w:tr>
      <w:tr>
        <w:tc>
          <w:tcPr>
            <w:tcW w:type="dxa" w:w="3120"/>
          </w:tcPr>
          <w:p>
            <w:r>
              <w:rPr>
                <w:rFonts w:ascii="Times New Roman" w:hAnsi="Times New Roman"/>
                <w:sz w:val="20"/>
              </w:rPr>
              <w:t>Unique cumulative status</w:t>
            </w:r>
          </w:p>
        </w:tc>
        <w:tc>
          <w:tcPr>
            <w:tcW w:type="dxa" w:w="3120"/>
          </w:tcPr>
          <w:p>
            <w:r>
              <w:rPr>
                <w:rFonts w:ascii="Times New Roman" w:hAnsi="Times New Roman"/>
                <w:sz w:val="20"/>
              </w:rPr>
              <w:t>1,877 / 1,582 / 295</w:t>
            </w:r>
          </w:p>
        </w:tc>
        <w:tc>
          <w:tcPr>
            <w:tcW w:type="dxa" w:w="3120"/>
          </w:tcPr>
          <w:p>
            <w:r>
              <w:rPr>
                <w:rFonts w:ascii="Times New Roman" w:hAnsi="Times New Roman"/>
                <w:sz w:val="20"/>
              </w:rPr>
              <w:t>screened / excluded / provisional full-text candidates; B19 duplicate audit non-additive</w:t>
            </w:r>
          </w:p>
        </w:tc>
      </w:tr>
    </w:tbl>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