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jc w:val="center"/>
      </w:pPr>
      <w:r>
        <w:rPr/>
        <w:t>Emergence, molecular evolution and spatiotemporal dynamics of avian influenza viruses in Nigeria, 2006–2026: submission-stage protocol and search/record-management status report</w:t>
      </w:r>
    </w:p>
    <w:p>
      <w:pPr>
        <w:spacing w:before="200" w:after="80"/>
      </w:pPr>
      <w:r>
        <w:rPr>
          <w:rFonts w:ascii="Times New Roman" w:hAnsi="Times New Roman"/>
          <w:b/>
          <w:sz w:val="24"/>
          <w:highlight w:val="yellow"/>
        </w:rPr>
        <w:t>Abstract</w:t>
      </w:r>
    </w:p>
    <w:p>
      <w:pPr>
        <w:keepNext w:val="0"/>
        <w:spacing w:before="0" w:after="120"/>
      </w:pPr>
      <w:r>
        <w:t>Background: Avian influenza viruses (AIVs) have caused recurrent poultry outbreaks and molecularly distinct detections in Nigeria since 2006. Objective: This submission-stage protocol prespecifies a systematic review of emergence, temporal and geographic distribution, host range, and molecular/clade/reassortment dynamics of Nigeria-specific AIVs. Methods: The protocol uses a CoCoPop/PEO framework and is aligned with PRISMA 2020, PRISMA-S and SWiM. The study/search window is 2006-2026; the operational status snapshot is 20 September 2026. Results status: 2,367 source rows had been reconciled into 1,877 provisional identities; 440 title/metadata records have been screened, yielding 357 clear exclusions and 83 provisional full-text candidates. Final screening, full-text assessment, extraction, risk-of-bias appraisal, synthesis and a PRISMA flow are not complete. Conclusion: This document is a protocol and search/record-management status report, not a completed systematic review.</w:t>
      </w:r>
    </w:p>
    <w:p>
      <w:pPr>
        <w:spacing w:before="120" w:after="200"/>
        <w:ind w:left="216" w:right="216"/>
      </w:pPr>
      <w:r>
        <w:t>STATUS NOTE - 22 September 2026: Gate C remains open. The adjudicated R1/R2 title/metadata pilot of 40 records and Batch R1-B1 (the first 100 non-pilot canonical records by canonical_id order, CAN-0015 through CAN-0134 with pilot IDs omitted) produced 98 clear exclusions and 42 provisional full-text candidates. Batch R1-B1 had exact R1/R2 agreement (100/100) and no adjudication disagreements. Batch B2 retained 17 provisional full-text candidates and excluded 83 after eight R1/R2 disagreements were adjudicated. Batch B3 screened CAN-0241-CAN-0340 and retained 13 provisional full-text candidates while excluding 87. Batch B4 screened CAN-0381-CAN-0480: R1/R2 had exact agreement (100/100), with 0 clear Include-for-full-text decisions, 11 Unsure/retain-for-full-text decisions and 89 Exclude decisions; no disagreements occurred. All 11 uncertain records were retained conservatively for full-text review. Cumulatively, 440 title/metadata records have been screened, with 357 exclusions and 83 provisional full-text candidates; 1,437 canonical identities remain unresolved/non-final. Gates D-J are incomplete; full-text assessment, extraction, risk-of-bias assessment, certainty assessment, final PRISMA flow and SWiM synthesis remain pending.</w:t>
      </w:r>
    </w:p>
    <w:p>
      <w:pPr>
        <w:pStyle w:val="Heading1"/>
        <w:keepNext/>
      </w:pPr>
      <w:r>
        <w:rPr/>
        <w:t>Introduction</w:t>
      </w:r>
    </w:p>
    <w:p>
      <w:pPr>
        <w:keepNext w:val="0"/>
        <w:spacing w:before="0" w:after="120"/>
      </w:pPr>
      <w:r>
        <w:rPr/>
        <w:t>Avian influenza viruses (AIVs) are important pathogens of domestic and wild birds and a continuing threat to poultry production, food security, wildlife conservation and public health. Influenza A viruses have segmented RNA genomes, enabling reassortment when different viruses co-infect a host; mutation, host switching and geographic dissemination can also produce genetically distinct viral populations [1,2].</w:t>
      </w:r>
    </w:p>
    <w:p>
      <w:pPr>
        <w:keepNext w:val="0"/>
        <w:spacing w:before="0" w:after="120"/>
      </w:pPr>
      <w:r>
        <w:rPr/>
        <w:t>The epidemiology of highly pathogenic avian influenza (HPAI) has changed substantially over the past two decades. The Goose/Guangdong lineage of H5 viruses has diversified into multiple phylogenetic clades, with clade 2.3.4.4b becoming prominent since 2020–2021 because of its geographic expansion and broadening host range [2–6]. Its expansion has involved reassortment, repeated geographic introductions and establishment in new wild-bird and poultry populations [2,4,7,8]. Outbreak counts alone therefore cannot describe AIV dynamics; temporal patterns, geography and viral evolutionary relationships also matter.</w:t>
      </w:r>
    </w:p>
    <w:p>
      <w:pPr>
        <w:keepNext w:val="0"/>
        <w:spacing w:before="0" w:after="120"/>
      </w:pPr>
      <w:r>
        <w:rPr/>
        <w:t>Africa has experienced repeated AIV incursions in domestic and wild birds. A systematic review of birds sampled in sub-Saharan Africa during 2000–2019 identified 19 haemagglutinin/neuraminidase subtype combinations and substantial ecological variation in subtype occurrence [9]. More recent molecular surveillance in Southern Africa and Nigeria has documented circulation and diversification of HPAI H5 viruses in poultry and wild birds [10,11]. The potential contribution of migratory and other wild birds to long-distance virus movement remains relevant to surveillance interpretation [8,10,16,17].</w:t>
      </w:r>
    </w:p>
    <w:p>
      <w:pPr>
        <w:keepNext w:val="0"/>
        <w:spacing w:before="0" w:after="120"/>
      </w:pPr>
      <w:r>
        <w:rPr/>
        <w:t>Nigeria is an important setting for investigating these processes. The country recorded HPAI H5N1 in 2006, followed by extensive poultry outbreaks and later epidemic waves [12,13]. A major re-emergence was documented in 2015, with subsequent Nigerian outbreaks described in the literature through 2025 [13,14]. Akanbi and Lakes provide a broad narrative review of Nigerian avian influenza from 2006 to 2025; the present protocol is narrower, aiming to integrate spatiotemporal evidence with clade and reassortment evidence once the prespecified review workflow is completed [13].</w:t>
      </w:r>
    </w:p>
    <w:p>
      <w:pPr>
        <w:keepNext w:val="0"/>
        <w:spacing w:before="0" w:after="120"/>
      </w:pPr>
      <w:r>
        <w:rPr/>
        <w:t>Nigerian molecular studies indicate considerable evolutionary complexity. Adesola et al. described a temporal progression from clade 2.2 in 2006 to later 2.3.2/2.3.2.1f and 2.3.4.4b detections [12], while Shittu et al. reported widespread circulation of WA2 clade 2.3.2.1c H5N1 in 2015 [14]. Laleye et al. reported independent introductions of H5Nx clade 2.3.4.4b viruses in Nigeria [15]. Meseko et al. subsequently described H5N1, H5N2 and H5N8 detections in poultry during 2021–2022, including evidence interpreted as multiple introductions and regional evolution [11]. These reports support a distinction between subtype, clade/sublineage, reassortant genotype and a new introduction; those labels are not interchangeable.</w:t>
      </w:r>
    </w:p>
    <w:p>
      <w:pPr>
        <w:keepNext w:val="0"/>
        <w:spacing w:before="0" w:after="120"/>
      </w:pPr>
      <w:r>
        <w:rPr/>
        <w:t>Wild-bird evidence adds another dimension. H5 clade 2.3.4.4 viruses were detected in apparently healthy wild birds in the Hadejia-Nguru wetland in 2022, with phylogenetic findings consistent with separate introductions relative to poultry viruses sampled since 2021 [16]. Earlier Nigerian surveillance also documented AIV testing in captive wild birds and indigenous chickens [17]. H9N2 was reported in commercial poultry in 2024 [18], and a 2026 investigation reported a new H5N1 clade 2.3.4.4b reassortant genotype in Nigeria [19]. These cited background studies motivate an updated review but do not constitute its results.</w:t>
      </w:r>
    </w:p>
    <w:p>
      <w:pPr>
        <w:keepNext w:val="0"/>
        <w:spacing w:before="0" w:after="120"/>
      </w:pPr>
      <w:r>
        <w:rPr/>
        <w:t>This protocol therefore prespecifies a synthesis of Nigeria-specific AIV evidence on emergence, temporal and geographic distribution, host range, molecular diversity and evolutionary dynamics. If the evidence supports it after screening and appraisal, the completed review will distinguish introductions, persistence, local diversification, geographic dissemination and lineage replacement rather than treating all detections as one process [11,12,15,19].</w:t>
      </w:r>
    </w:p>
    <w:p>
      <w:pPr>
        <w:pStyle w:val="Heading1"/>
        <w:keepNext/>
      </w:pPr>
      <w:r>
        <w:rPr/>
        <w:t>Methods</w:t>
      </w:r>
    </w:p>
    <w:p>
      <w:pPr>
        <w:pStyle w:val="Heading2"/>
        <w:keepNext/>
      </w:pPr>
      <w:r>
        <w:rPr/>
        <w:t>Review framework, purpose and dates</w:t>
      </w:r>
    </w:p>
    <w:p>
      <w:pPr>
        <w:keepNext w:val="0"/>
        <w:spacing w:before="0" w:after="120"/>
      </w:pPr>
      <w:r>
        <w:rPr/>
        <w:t>The question concerns emergence, temporal and geographic distribution, host range, and molecular/clade/reassortment dynamics of AIVs in Nigeria. CoCoPop/PEO, rather than PICO, frames the review because no intervention is assessed. The protocol is aligned with PRISMA 2020 [20,21], PRISMA-S and SWiM. It was not prospectively registered. The planned study/search window is 1 January 2006 to 30 September 2026; this is distinct from the operational evidence cut-off of 20 September 2026 used for this status report. Source-specific search endpoints and limitations are recorded in Appendix A.</w:t>
      </w:r>
    </w:p>
    <w:p>
      <w:pPr>
        <w:pStyle w:val="Heading2"/>
        <w:keepNext/>
      </w:pPr>
      <w:r>
        <w:rPr/>
        <w:t>Information sources and search strategy</w:t>
      </w:r>
    </w:p>
    <w:p>
      <w:pPr>
        <w:keepNext w:val="0"/>
        <w:spacing w:before="0" w:after="120"/>
      </w:pPr>
      <w:r>
        <w:rPr/>
        <w:t>The protocol specified PubMed/MEDLINE, Scopus, Web of Science, Google Scholar, ScienceDirect and African Journals Online (AJOL). Search construction follows (AIV concept) AND (Nigeria concept) AND (date limit), with molecular/evolutionary, epidemiology/spatial-temporal and wild-bird/host concepts as separate facets. Nigeria is not embedded within the AIV or facet blocks. Appendix A distinguishes documented full executions from abbreviated or incomplete records; it must not be read as a claim that every source has a fully reproducible as-run strategy.</w:t>
      </w:r>
    </w:p>
    <w:p>
      <w:pPr>
        <w:pStyle w:val="Heading2"/>
        <w:keepNext/>
      </w:pPr>
      <w:r>
        <w:rPr/>
        <w:t>Eligibility criteria</w:t>
      </w:r>
    </w:p>
    <w:p>
      <w:pPr>
        <w:keepNext w:val="0"/>
        <w:spacing w:before="0" w:after="120"/>
      </w:pPr>
      <w:r>
        <w:rPr/>
        <w:t>A report is eligible only if it provides Nigeria-specific data on laboratory-confirmed HPAI or LPAI in avian hosts and reports at least one of the following: epidemiological evidence; molecular or phylogenetic evidence; or spatial or temporal data. Eligible report types are primary research, surveillance, outbreak investigation and molecular-epidemiology reports with extractable empirical data. Wild birds and other avian hosts are host categories, not a separate route to eligibility. Reports are excluded if they lack Nigeria-specific data, concern non-avian influenza, lack all three relevant evidence types, contain no extractable primary evidence, are experimental-only without field relevance, or duplicate an already represented dataset. Overlapping reports will be linked and retained only for unique information or the most complete dataset.</w:t>
      </w:r>
    </w:p>
    <w:p>
      <w:pPr>
        <w:pStyle w:val="Heading2"/>
        <w:keepNext/>
      </w:pPr>
      <w:r>
        <w:rPr/>
        <w:t>Record management and screening</w:t>
      </w:r>
    </w:p>
    <w:p>
      <w:pPr>
        <w:keepNext w:val="0"/>
        <w:spacing w:before="0" w:after="120"/>
      </w:pPr>
      <w:r>
        <w:t>Records were reconciled using symmetric DOI, PMID, or exact normalised title-plus-year matching. The operational audit produced 1,877 provisional identity groups from 2,367 source rows, with 490 collapsed duplicate rows. The controlled title/metadata-screening denominator is therefore 1,877. R1 and R2 independently screened and adjudicated a 40-record pilot (25 clear exclusions; 15 provisional full-text candidates) and independently screened Batch R1-B1, the first 100 non-pilot canonical records by canonical_id order (CAN-0015 through CAN-0134 with pilot IDs omitted). Batch R1-B1 had exact agreement (100/100), with 17 Include-for-full-text, 10 Unsure/retain-for-full-text and 73 Exclude decisions; no adjudication disagreements occurred. Batch B2 comprised the next 100 non-pilot canonical records after B1 (CAN-0135-CAN-0240, with pilot IDs omitted). The final B2 disposition was 17 retained for full text and 83 excluded after eight disagreements were adjudicated. Batch B3 comprised CAN-0241-CAN-0340; the final B3 disposition was 13 provisional full-text candidates and 87 exclusions. Batch B4 comprised CAN-0381-CAN-0480 (100 records). R1 and R2 had exact agreement (100/100): 0 clear Include-for-full-text, 11 Unsure/retain-for-full-text and 89 Exclude decisions, with no disagreements. All 11 uncertain records were retained conservatively for full-text review. Across the pilot, B1, B2, B3 and B4, 440 title/metadata records have been screened: 357 clear exclusions and 83 provisional full-text candidates. The remaining 1,437 canonical identities are unresolved/non-final. No final title/metadata decision, full-text eligibility decision or included-study count exists. The planned dual-review process applies Nigeria linkage, laboratory-confirmed avian AIV, at least one relevant evidence type, and extractable primary-data questions; an unsure record proceeds to full text rather than being assumed excluded.</w:t>
      </w:r>
    </w:p>
    <w:p>
      <w:pPr>
        <w:pStyle w:val="Heading2"/>
        <w:keepNext/>
      </w:pPr>
      <w:r>
        <w:rPr/>
        <w:t>Planned extraction, appraisal and synthesis</w:t>
      </w:r>
    </w:p>
    <w:p>
      <w:pPr>
        <w:keepNext w:val="0"/>
        <w:spacing w:before="0" w:after="120"/>
      </w:pPr>
      <w:r>
        <w:rPr/>
        <w:t>After final full-text inclusion, the extraction pilot will capture design, sampling frame and period, geography, host/system, sample size and denominator, assay, subtype, clade/lineage, sequencing, phylogeny/support, accession information, reassortment or mutation claims, and study limitations. The appropriate JBI prevalence, cross-sectional or cohort tool will be used alongside a molecular check of sampling, assay/sequencing transparency, phylogeny/support, accession availability, nomenclature and reassortment overclaim. No score-sum will be used. Certainty will be described narratively using prognosis-style GRADE logic. SWiM narrative synthesis is prespecified; meta-analysis will not be forced.</w:t>
      </w:r>
    </w:p>
    <w:p>
      <w:pPr>
        <w:pStyle w:val="Heading2"/>
        <w:keepNext/>
      </w:pPr>
      <w:r>
        <w:rPr/>
        <w:t>Current completion status</w:t>
      </w:r>
    </w:p>
    <w:p>
      <w:pPr>
        <w:keepNext w:val="0"/>
        <w:spacing w:before="0" w:after="120"/>
      </w:pPr>
      <w:r>
        <w:t>The evidence synthesis is not complete. Gate C screening reconciliation remains open after adjudication of the 40-record R1/R2 title/metadata pilot, exact-agreement screening of the 100-record Batch R1-B1 and Batch B4, and adjudication of the 100-record Batches B2 and B3: 1,437 canonical identities remain unresolved/non-final, while 83 records are provisional candidates awaiting full-text assessment. Gates D-J have not been completed. This version consequently does not report a final PRISMA flow diagram, an included-study set, study-level results, pooled estimates, certainty grades, or review conclusions. Such outputs require completion of screening, full-text assessment, extraction, appraisal, synthesis and final reporting audit.</w:t>
      </w:r>
    </w:p>
    <w:p>
      <w:r>
        <w:rPr/>
        <w:br w:type="page"/>
      </w:r>
    </w:p>
    <w:p>
      <w:pPr>
        <w:pStyle w:val="Heading1"/>
        <w:keepNext/>
      </w:pPr>
      <w:r>
        <w:rPr/>
        <w:t>References</w:t>
      </w:r>
    </w:p>
    <w:p>
      <w:pPr>
        <w:pStyle w:val="ListParagraph"/>
        <w:keepNext w:val="0"/>
        <w:spacing w:before="0" w:after="60"/>
        <w:ind w:left="360" w:hanging="360"/>
      </w:pPr>
      <w:r>
        <w:rPr/>
        <w:t>1. Xie R, Edwards KM, Wille M, Wei X, Wong SS, Zanin M, et al. The episodic resurgence of highly pathogenic avian influenza H5 virus. Nature. 2023;622(7984):810–817. doi:10.1038/s41586-023-06631-2.</w:t>
      </w:r>
    </w:p>
    <w:p>
      <w:pPr>
        <w:pStyle w:val="ListParagraph"/>
        <w:keepNext w:val="0"/>
        <w:spacing w:before="0" w:after="60"/>
        <w:ind w:left="360" w:hanging="360"/>
      </w:pPr>
      <w:r>
        <w:rPr/>
        <w:t>2. Fusaro A, Zecchin B, Giussani E, Palumbo E, Agüero-García M, Bachofen C, et al. High pathogenic avian influenza A(H5) viruses of clade 2.3.4.4b in Europe—why trends of virus evolution are more difficult to predict. Virus Evol. 2024;10(1):veae027. doi:10.1093/ve/veae027.</w:t>
      </w:r>
    </w:p>
    <w:p>
      <w:pPr>
        <w:pStyle w:val="ListParagraph"/>
        <w:keepNext w:val="0"/>
        <w:spacing w:before="0" w:after="60"/>
        <w:ind w:left="360" w:hanging="360"/>
      </w:pPr>
      <w:r>
        <w:rPr/>
        <w:t>3. Webby RJ, Uyeki TM. An update on highly pathogenic avian influenza A(H5N1) virus, clade 2.3.4.4b. J Infect Dis. 2024;230(3):533–542. doi:10.1093/infdis/jiae379.</w:t>
      </w:r>
    </w:p>
    <w:p>
      <w:pPr>
        <w:pStyle w:val="ListParagraph"/>
        <w:keepNext w:val="0"/>
        <w:spacing w:before="0" w:after="60"/>
        <w:ind w:left="360" w:hanging="360"/>
      </w:pPr>
      <w:r>
        <w:rPr/>
        <w:t>4. Chrzastek K, Lieber CM, Plemper RK. H5N1 clade 2.3.4.4b: evolution, global spread, and host range expansion. Pathogens. 2025;14(9):929. doi:10.3390/pathogens14090929.</w:t>
      </w:r>
    </w:p>
    <w:p>
      <w:pPr>
        <w:pStyle w:val="ListParagraph"/>
        <w:keepNext w:val="0"/>
        <w:spacing w:before="0" w:after="60"/>
        <w:ind w:left="360" w:hanging="360"/>
      </w:pPr>
      <w:r>
        <w:rPr/>
        <w:t>5. Capelastegui F, Goldhill DH. H5N1 2.3.4.4b: a review of mammalian adaptations and risk of pandemic emergence. J Gen Virol. 2025;106(6):002109. doi:10.1099/jgv.0.002109.</w:t>
      </w:r>
    </w:p>
    <w:p>
      <w:pPr>
        <w:pStyle w:val="ListParagraph"/>
        <w:keepNext w:val="0"/>
        <w:spacing w:before="0" w:after="60"/>
        <w:ind w:left="360" w:hanging="360"/>
      </w:pPr>
      <w:r>
        <w:rPr/>
        <w:t>6. Xie Z, Yang J, Jiao W, Li X, Iqbal M, Liao M, et al. Clade 2.3.4.4b highly pathogenic avian influenza H5N1 viruses: knowns, unknowns, and challenges. J Virol. 2025;99(6):e00424-25. doi:10.1128/jvi.00424-25.</w:t>
      </w:r>
    </w:p>
    <w:p>
      <w:pPr>
        <w:pStyle w:val="ListParagraph"/>
        <w:keepNext w:val="0"/>
        <w:spacing w:before="0" w:after="60"/>
        <w:ind w:left="360" w:hanging="360"/>
      </w:pPr>
      <w:r>
        <w:rPr/>
        <w:t>7. Koopmans MPG, Barton Behravesh C, Cunningham AA, Adisasmito W, Almuhairi S, Bilivogui P, et al. The panzootic spread of highly pathogenic avian influenza H5N1 sublineage 2.3.4.4b: a critical appraisal of One Health preparedness and prevention. Lancet. 2024;24(12):e774–e781. doi:10.1016/S1473-3099(24)00438-9.</w:t>
      </w:r>
    </w:p>
    <w:p>
      <w:pPr>
        <w:pStyle w:val="ListParagraph"/>
        <w:keepNext w:val="0"/>
        <w:spacing w:before="0" w:after="60"/>
        <w:ind w:left="360" w:hanging="360"/>
      </w:pPr>
      <w:r>
        <w:rPr/>
        <w:t>8. Peacock TP, Moncla L, Dudas G, VanInsberghe D, Sukhova K, Lloyd-Smith JO, et al. The global H5N1 influenza panzootic in mammals. Nature. 2025;637(8045):304–313. doi:10.1038/s41586-024-08054-z.</w:t>
      </w:r>
    </w:p>
    <w:p>
      <w:pPr>
        <w:pStyle w:val="ListParagraph"/>
        <w:keepNext w:val="0"/>
        <w:spacing w:before="0" w:after="60"/>
        <w:ind w:left="360" w:hanging="360"/>
      </w:pPr>
      <w:r>
        <w:rPr/>
        <w:t>9. Kalonda A, Saasa N, Nkhoma P, Kajihara M, Sawa H, Takada A, et al. Avian influenza viruses detected in birds in sub-Saharan Africa: a systematic review. Viruses. 2020;12(9):993. doi:10.3390/v12090993.</w:t>
      </w:r>
    </w:p>
    <w:p>
      <w:pPr>
        <w:pStyle w:val="ListParagraph"/>
        <w:keepNext w:val="0"/>
        <w:spacing w:before="0" w:after="60"/>
        <w:ind w:left="360" w:hanging="360"/>
      </w:pPr>
      <w:r>
        <w:rPr/>
        <w:t>10. Abolnik C, Phiri T, Peyrot B, de Beer R, Snyman A, Roberts D, et al. The molecular epidemiology of clade 2.3.4.4B H5N1 high pathogenicity avian influenza in Southern Africa, 2021–2022. Viruses. 2023;15(6):1383. doi:10.3390/v15061383.</w:t>
      </w:r>
    </w:p>
    <w:p>
      <w:pPr>
        <w:pStyle w:val="ListParagraph"/>
        <w:keepNext w:val="0"/>
        <w:spacing w:before="0" w:after="60"/>
        <w:ind w:left="360" w:hanging="360"/>
      </w:pPr>
      <w:r>
        <w:rPr/>
        <w:t>11. Meseko C, Milani A, Inuwa B, Chinyere C, Shittu I, Ahmed J, et al. The evolution of highly pathogenic avian influenza A (H5) in poultry in Nigeria, 2021–2022. Viruses. 2023;15(6):1387. doi:10.3390/v15061387.</w:t>
      </w:r>
    </w:p>
    <w:p>
      <w:pPr>
        <w:pStyle w:val="ListParagraph"/>
        <w:keepNext w:val="0"/>
        <w:spacing w:before="0" w:after="60"/>
        <w:ind w:left="360" w:hanging="360"/>
      </w:pPr>
      <w:r>
        <w:rPr/>
        <w:t>12. Adesola RO, Onoja BA, Adamu AM, Agbaje ST, Abdulazeez MD, Akinsulie OC, et al. Molecular epidemiology and genetic evolution of avian influenza H5N1 subtype in Nigeria, 2006 to 2021. Virus Genes. 2024;60(5):501–509. doi:10.1007/s11262-024-02080-9.</w:t>
      </w:r>
    </w:p>
    <w:p>
      <w:pPr>
        <w:pStyle w:val="ListParagraph"/>
        <w:keepNext w:val="0"/>
        <w:spacing w:before="0" w:after="60"/>
        <w:ind w:left="360" w:hanging="360"/>
      </w:pPr>
      <w:r>
        <w:rPr/>
        <w:t>13. Akanbi OB, Lakes T. Review of avian influenza outbreaks in Nigeria 2006–2025. Open Vet J. 2025;15(12):6146–6165. doi:10.5455/OVJ.2025.v15.i12.2.</w:t>
      </w:r>
    </w:p>
    <w:p>
      <w:pPr>
        <w:pStyle w:val="ListParagraph"/>
        <w:keepNext w:val="0"/>
        <w:spacing w:before="0" w:after="60"/>
        <w:ind w:left="360" w:hanging="360"/>
      </w:pPr>
      <w:r>
        <w:rPr/>
        <w:t>14. Shittu I, Meseko CA, Sailleau C, Barbe V, Mullers E, Quenel AS, et al. Highly pathogenic avian influenza (H5N1) in Nigeria in 2015: evidence of widespread circulation of WA2 clade 2.3.2.1c. Arch Virol. 2017;162(3):841–846. doi:10.1007/s00705-016-3149-4.</w:t>
      </w:r>
    </w:p>
    <w:p>
      <w:pPr>
        <w:pStyle w:val="ListParagraph"/>
        <w:keepNext w:val="0"/>
        <w:spacing w:before="0" w:after="60"/>
        <w:ind w:left="360" w:hanging="360"/>
      </w:pPr>
      <w:r>
        <w:rPr/>
        <w:t>15. Laleye AT, Bianco A, Shittu I, et al. Genetic characterization of highly pathogenic avian influenza H5Nx clade 2.3.4.4b reveals independent introductions in Nigeria. Transbound Emerg Dis. 2022;69(2):423–433. doi:10.1111/tbed.14000.</w:t>
      </w:r>
    </w:p>
    <w:p>
      <w:pPr>
        <w:pStyle w:val="ListParagraph"/>
        <w:keepNext w:val="0"/>
        <w:spacing w:before="0" w:after="60"/>
        <w:ind w:left="360" w:hanging="360"/>
      </w:pPr>
      <w:r>
        <w:rPr/>
        <w:t>16. Olawuyi K, Orole O, Meseko C, Monne I, Shittu I, Zecchin B, et al. Detection of clade 2.3.4.4 highly pathogenic avian influenza H5 viruses in healthy wild birds in the Hadejia-Nguru wetland, Nigeria 2022. Influenza Other Respir Viruses. 2024;18(2):e13254. doi:10.1111/irv.13254.</w:t>
      </w:r>
    </w:p>
    <w:p>
      <w:pPr>
        <w:pStyle w:val="ListParagraph"/>
        <w:keepNext w:val="0"/>
        <w:spacing w:before="0" w:after="60"/>
        <w:ind w:left="360" w:hanging="360"/>
      </w:pPr>
      <w:r>
        <w:rPr/>
        <w:t>17. Daodu OB, Jegede HO, Aiyedun JO, Oludairo OO, Olorunshola ID, Daodu OC, et al. Surveillance for avian influenza virus in captive wild birds and indigenous chickens in Nigeria. Trop Anim Health Prod. 2020;52(5):2387–2393. doi:10.1007/s11250-020-02265-y.</w:t>
      </w:r>
    </w:p>
    <w:p>
      <w:pPr>
        <w:pStyle w:val="ListParagraph"/>
        <w:keepNext w:val="0"/>
        <w:spacing w:before="0" w:after="60"/>
        <w:ind w:left="360" w:hanging="360"/>
      </w:pPr>
      <w:r>
        <w:rPr/>
        <w:t>18. Akanbi OB, Alaka OO, Olaifa OS, Meseko CA, Inuwa B, Ohore OG, et al. Pathology and molecular detection of influenza A subtype H9N2 virus in commercial poultry in Nigeria, 2024. Open Vet J. 2024;14(9):2381–2391. doi:10.5455/OVJ.2024.v14.i9.26.</w:t>
      </w:r>
    </w:p>
    <w:p>
      <w:pPr>
        <w:pStyle w:val="ListParagraph"/>
        <w:keepNext w:val="0"/>
        <w:spacing w:before="0" w:after="60"/>
        <w:ind w:left="360" w:hanging="360"/>
      </w:pPr>
      <w:r>
        <w:rPr/>
        <w:t>19. Meseko C, Zecchin B, Go-Maro EW, Dianati M, Mkpuma N, Inuwa B, et al. Emergence and rapid spread of a new reassortant high pathogenicity H5N1 clade 2.3.4.4b avian influenza virus in Nigeria. Influenza Other Respir Viruses. 2026;20(5):e70260. doi:10.1111/irv.70260.</w:t>
      </w:r>
    </w:p>
    <w:p>
      <w:pPr>
        <w:pStyle w:val="ListParagraph"/>
        <w:keepNext w:val="0"/>
        <w:spacing w:before="0" w:after="60"/>
        <w:ind w:left="360" w:hanging="360"/>
      </w:pPr>
      <w:r>
        <w:rPr/>
        <w:t>20. Page MJ, McKenzie JE, Bossuyt PM, Boutron I, Hoffmann TC, Mulrow CD, et al. The PRISMA 2020 statement: an updated guideline for reporting systematic reviews. BMJ. 2021;372:n71. doi:10.1136/bmj.n71.</w:t>
      </w:r>
    </w:p>
    <w:p>
      <w:pPr>
        <w:pStyle w:val="ListParagraph"/>
        <w:keepNext w:val="0"/>
        <w:spacing w:before="0" w:after="60"/>
        <w:ind w:left="360" w:hanging="360"/>
      </w:pPr>
      <w:r>
        <w:rPr/>
        <w:t>21. Page MJ, Moher D, Bossuyt PM, Boutron I, Hoffmann TC, Mulrow CD, et al. PRISMA 2020 explanation and elaboration: updated guidance and exemplars. BMJ. 2021;372:n160. doi:10.1136/bmj.n160.</w:t>
      </w:r>
    </w:p>
    <w:p>
      <w:r>
        <w:rPr/>
        <w:br w:type="page"/>
      </w:r>
    </w:p>
    <w:p>
      <w:pPr>
        <w:pStyle w:val="Heading1"/>
        <w:keepNext/>
      </w:pPr>
      <w:r>
        <w:rPr/>
        <w:t>Appendix A. Methods, search and screening audit</w:t>
      </w:r>
    </w:p>
    <w:p>
      <w:pPr>
        <w:keepNext w:val="0"/>
        <w:spacing w:before="0" w:after="120"/>
      </w:pPr>
      <w:r>
        <w:t>Operational snapshot: 20 September 2026. This appendix records the evidence boundary and search/record-management status for this submission-stage document, including adjudicated title/metadata screening through Batch B4. It is not a final PRISMA-S strategy appendix and does not substitute for final study selection, extraction or synthesis.</w:t>
      </w:r>
    </w:p>
    <w:p>
      <w:pPr>
        <w:pStyle w:val="Heading2"/>
        <w:keepNext/>
      </w:pPr>
      <w:r>
        <w:rPr/>
        <w:t>Search records and reproducibility limits</w:t>
      </w:r>
    </w:p>
    <w:p>
      <w:pPr>
        <w:keepNext w:val="0"/>
        <w:spacing w:before="0" w:after="120"/>
      </w:pPr>
      <w:r>
        <w:rPr/>
        <w:t>The corrected architecture is (AIV concept) AND (Nigeria concept) AND (date limit), with molecular/evolutionary, epidemiology/spatial-temporal and wild-bird/host concepts as separate facets. The table distinguishes full documented executions from abbreviated or count-only records. Counts must not be added across overlapping facets or across imported and count-only layers.</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656"/>
            <w:vAlign w:val="center"/>
            <w:shd w:fill="D9E2F3"/>
          </w:tcPr>
          <w:p>
            <w:pPr>
              <w:spacing w:after="0"/>
            </w:pPr>
            <w:r>
              <w:rPr>
                <w:rFonts w:ascii="Times New Roman" w:hAnsi="Times New Roman"/>
                <w:b/>
                <w:sz w:val="17"/>
              </w:rPr>
              <w:t>Source and date</w:t>
            </w:r>
          </w:p>
        </w:tc>
        <w:tc>
          <w:tcPr>
            <w:tcW w:type="dxa" w:w="4680"/>
            <w:vAlign w:val="center"/>
            <w:shd w:fill="D9E2F3"/>
          </w:tcPr>
          <w:p>
            <w:pPr>
              <w:spacing w:after="0"/>
            </w:pPr>
            <w:r>
              <w:rPr>
                <w:rFonts w:ascii="Times New Roman" w:hAnsi="Times New Roman"/>
                <w:b/>
                <w:sz w:val="17"/>
              </w:rPr>
              <w:t>Documented search record</w:t>
            </w:r>
          </w:p>
        </w:tc>
        <w:tc>
          <w:tcPr>
            <w:tcW w:type="dxa" w:w="1296"/>
            <w:vAlign w:val="center"/>
            <w:shd w:fill="D9E2F3"/>
          </w:tcPr>
          <w:p>
            <w:pPr>
              <w:spacing w:after="0"/>
            </w:pPr>
            <w:r>
              <w:rPr>
                <w:rFonts w:ascii="Times New Roman" w:hAnsi="Times New Roman"/>
                <w:b/>
                <w:sz w:val="17"/>
              </w:rPr>
              <w:t>Count</w:t>
            </w:r>
          </w:p>
        </w:tc>
        <w:tc>
          <w:tcPr>
            <w:tcW w:type="dxa" w:w="2448"/>
            <w:vAlign w:val="center"/>
            <w:shd w:fill="D9E2F3"/>
          </w:tcPr>
          <w:p>
            <w:pPr>
              <w:spacing w:after="0"/>
            </w:pPr>
            <w:r>
              <w:rPr>
                <w:rFonts w:ascii="Times New Roman" w:hAnsi="Times New Roman"/>
                <w:b/>
                <w:sz w:val="17"/>
              </w:rPr>
              <w:t>Reproducibility status / missing field</w:t>
            </w:r>
          </w:p>
        </w:tc>
      </w:tr>
      <w:tr>
        <w:tc>
          <w:tcPr>
            <w:tcW w:type="dxa" w:w="1656"/>
            <w:vAlign w:val="top"/>
          </w:tcPr>
          <w:p>
            <w:pPr>
              <w:spacing w:after="0"/>
            </w:pPr>
            <w:r>
              <w:rPr>
                <w:rFonts w:ascii="Times New Roman" w:hAnsi="Times New Roman"/>
                <w:sz w:val="17"/>
              </w:rPr>
              <w:t>PubMed/MEDLINE; 16 Sep 2026</w:t>
            </w:r>
          </w:p>
        </w:tc>
        <w:tc>
          <w:tcPr>
            <w:tcW w:type="dxa" w:w="4680"/>
            <w:vAlign w:val="top"/>
          </w:tcPr>
          <w:p>
            <w:pPr>
              <w:spacing w:after="0"/>
            </w:pPr>
            <w:r>
              <w:rPr>
                <w:rFonts w:ascii="Times New Roman" w:hAnsi="Times New Roman"/>
                <w:sz w:val="17"/>
              </w:rPr>
              <w:t>Full v3 base and molecular facet documented below; date limit 2006/01/01–2026/09/30.</w:t>
            </w:r>
          </w:p>
        </w:tc>
        <w:tc>
          <w:tcPr>
            <w:tcW w:type="dxa" w:w="1296"/>
            <w:vAlign w:val="top"/>
          </w:tcPr>
          <w:p>
            <w:pPr>
              <w:spacing w:after="0"/>
            </w:pPr>
            <w:r>
              <w:rPr>
                <w:rFonts w:ascii="Times New Roman" w:hAnsi="Times New Roman"/>
                <w:sz w:val="17"/>
              </w:rPr>
              <w:t>140 base; 53 molecular</w:t>
            </w:r>
          </w:p>
        </w:tc>
        <w:tc>
          <w:tcPr>
            <w:tcW w:type="dxa" w:w="2448"/>
            <w:vAlign w:val="top"/>
          </w:tcPr>
          <w:p>
            <w:pPr>
              <w:spacing w:after="0"/>
            </w:pPr>
            <w:r>
              <w:rPr>
                <w:rFonts w:ascii="Times New Roman" w:hAnsi="Times New Roman"/>
                <w:sz w:val="17"/>
              </w:rPr>
              <w:t>Executed strings retained; English filter is not encoded in the v3 script record.</w:t>
            </w:r>
          </w:p>
        </w:tc>
      </w:tr>
      <w:tr>
        <w:tc>
          <w:tcPr>
            <w:tcW w:type="dxa" w:w="1656"/>
            <w:vAlign w:val="top"/>
          </w:tcPr>
          <w:p>
            <w:pPr>
              <w:spacing w:after="0"/>
            </w:pPr>
            <w:r>
              <w:rPr>
                <w:rFonts w:ascii="Times New Roman" w:hAnsi="Times New Roman"/>
                <w:sz w:val="17"/>
              </w:rPr>
              <w:t>Scopus; 16 Sep 2026</w:t>
            </w:r>
          </w:p>
        </w:tc>
        <w:tc>
          <w:tcPr>
            <w:tcW w:type="dxa" w:w="4680"/>
            <w:vAlign w:val="top"/>
          </w:tcPr>
          <w:p>
            <w:pPr>
              <w:spacing w:after="0"/>
            </w:pPr>
            <w:r>
              <w:rPr>
                <w:rFonts w:ascii="Times New Roman" w:hAnsi="Times New Roman"/>
                <w:sz w:val="17"/>
              </w:rPr>
              <w:t>Documented base: TITLE-ABS-KEY("avian influenza" OR AIV OR HPAI OR LPAI OR H5N1 OR H5N2 OR H5N6 OR H5N8 OR H9N2) AND TITLE-ABS-KEY(Nigeria OR Nigerian) AND PUBYEAR &gt; 2005 AND PUBYEAR &lt; 2027.</w:t>
            </w:r>
          </w:p>
        </w:tc>
        <w:tc>
          <w:tcPr>
            <w:tcW w:type="dxa" w:w="1296"/>
            <w:vAlign w:val="top"/>
          </w:tcPr>
          <w:p>
            <w:pPr>
              <w:spacing w:after="0"/>
            </w:pPr>
            <w:r>
              <w:rPr>
                <w:rFonts w:ascii="Times New Roman" w:hAnsi="Times New Roman"/>
                <w:sz w:val="17"/>
              </w:rPr>
              <w:t>204</w:t>
            </w:r>
          </w:p>
        </w:tc>
        <w:tc>
          <w:tcPr>
            <w:tcW w:type="dxa" w:w="2448"/>
            <w:vAlign w:val="top"/>
          </w:tcPr>
          <w:p>
            <w:pPr>
              <w:spacing w:after="0"/>
            </w:pPr>
            <w:r>
              <w:rPr>
                <w:rFonts w:ascii="Times New Roman" w:hAnsi="Times New Roman"/>
                <w:sz w:val="17"/>
              </w:rPr>
              <w:t>Base syntax documented; facet lines, interface settings and export configuration are incomplete.</w:t>
            </w:r>
          </w:p>
        </w:tc>
      </w:tr>
      <w:tr>
        <w:tc>
          <w:tcPr>
            <w:tcW w:type="dxa" w:w="1656"/>
            <w:vAlign w:val="top"/>
          </w:tcPr>
          <w:p>
            <w:pPr>
              <w:spacing w:after="0"/>
            </w:pPr>
            <w:r>
              <w:rPr>
                <w:rFonts w:ascii="Times New Roman" w:hAnsi="Times New Roman"/>
                <w:sz w:val="17"/>
              </w:rPr>
              <w:t>WoS API; 19 Sep 2026</w:t>
            </w:r>
          </w:p>
        </w:tc>
        <w:tc>
          <w:tcPr>
            <w:tcW w:type="dxa" w:w="4680"/>
            <w:vAlign w:val="top"/>
          </w:tcPr>
          <w:p>
            <w:pPr>
              <w:spacing w:after="0"/>
            </w:pPr>
            <w:r>
              <w:rPr>
                <w:rFonts w:ascii="Times New Roman" w:hAnsi="Times New Roman"/>
                <w:sz w:val="17"/>
              </w:rPr>
              <w:t>TS=("avian influenza" OR AIV OR HPAI OR LPAI OR H5N1 OR H9N2) AND TS=(Nigeria OR Nigerian) AND PY=(2006-2026).</w:t>
            </w:r>
          </w:p>
        </w:tc>
        <w:tc>
          <w:tcPr>
            <w:tcW w:type="dxa" w:w="1296"/>
            <w:vAlign w:val="top"/>
          </w:tcPr>
          <w:p>
            <w:pPr>
              <w:spacing w:after="0"/>
            </w:pPr>
            <w:r>
              <w:rPr>
                <w:rFonts w:ascii="Times New Roman" w:hAnsi="Times New Roman"/>
                <w:sz w:val="17"/>
              </w:rPr>
              <w:t>175 unique UIDs</w:t>
            </w:r>
          </w:p>
        </w:tc>
        <w:tc>
          <w:tcPr>
            <w:tcW w:type="dxa" w:w="2448"/>
            <w:vAlign w:val="top"/>
          </w:tcPr>
          <w:p>
            <w:pPr>
              <w:spacing w:after="0"/>
            </w:pPr>
            <w:r>
              <w:rPr>
                <w:rFonts w:ascii="Times New Roman" w:hAnsi="Times New Roman"/>
                <w:sz w:val="17"/>
              </w:rPr>
              <w:t>Imported API layer; no English filter recorded.</w:t>
            </w:r>
          </w:p>
        </w:tc>
      </w:tr>
      <w:tr>
        <w:tc>
          <w:tcPr>
            <w:tcW w:type="dxa" w:w="1656"/>
            <w:vAlign w:val="top"/>
          </w:tcPr>
          <w:p>
            <w:pPr>
              <w:spacing w:after="0"/>
            </w:pPr>
            <w:r>
              <w:rPr>
                <w:rFonts w:ascii="Times New Roman" w:hAnsi="Times New Roman"/>
                <w:sz w:val="17"/>
              </w:rPr>
              <w:t>WoS Core Collection; 20 Sep 2026</w:t>
            </w:r>
          </w:p>
        </w:tc>
        <w:tc>
          <w:tcPr>
            <w:tcW w:type="dxa" w:w="4680"/>
            <w:vAlign w:val="top"/>
          </w:tcPr>
          <w:p>
            <w:pPr>
              <w:spacing w:after="0"/>
            </w:pPr>
            <w:r>
              <w:rPr>
                <w:rFonts w:ascii="Times New Roman" w:hAnsi="Times New Roman"/>
                <w:sz w:val="17"/>
              </w:rPr>
              <w:t>Full base plus molecular, epidemiology and wild-bird facet executions are in the run sheet; publication-date filter 2006-01-01–2026-09-20.</w:t>
            </w:r>
          </w:p>
        </w:tc>
        <w:tc>
          <w:tcPr>
            <w:tcW w:type="dxa" w:w="1296"/>
            <w:vAlign w:val="top"/>
          </w:tcPr>
          <w:p>
            <w:pPr>
              <w:spacing w:after="0"/>
            </w:pPr>
            <w:r>
              <w:rPr>
                <w:rFonts w:ascii="Times New Roman" w:hAnsi="Times New Roman"/>
                <w:sz w:val="17"/>
              </w:rPr>
              <w:t>206 base; 77 molecular; 154 epidemiology; 70 host</w:t>
            </w:r>
          </w:p>
        </w:tc>
        <w:tc>
          <w:tcPr>
            <w:tcW w:type="dxa" w:w="2448"/>
            <w:vAlign w:val="top"/>
          </w:tcPr>
          <w:p>
            <w:pPr>
              <w:spacing w:after="0"/>
            </w:pPr>
            <w:r>
              <w:rPr>
                <w:rFonts w:ascii="Times New Roman" w:hAnsi="Times New Roman"/>
                <w:sz w:val="17"/>
              </w:rPr>
              <w:t>Displayed counts only; no reliable complete record export. Do not add to the 175 UIDs.</w:t>
            </w:r>
          </w:p>
        </w:tc>
      </w:tr>
      <w:tr>
        <w:tc>
          <w:tcPr>
            <w:tcW w:type="dxa" w:w="1656"/>
            <w:vAlign w:val="top"/>
          </w:tcPr>
          <w:p>
            <w:pPr>
              <w:spacing w:after="0"/>
            </w:pPr>
            <w:r>
              <w:rPr>
                <w:rFonts w:ascii="Times New Roman" w:hAnsi="Times New Roman"/>
                <w:sz w:val="17"/>
              </w:rPr>
              <w:t>ScienceDirect; 16 Sep 2026</w:t>
            </w:r>
          </w:p>
        </w:tc>
        <w:tc>
          <w:tcPr>
            <w:tcW w:type="dxa" w:w="4680"/>
            <w:vAlign w:val="top"/>
          </w:tcPr>
          <w:p>
            <w:pPr>
              <w:spacing w:after="0"/>
            </w:pPr>
            <w:r>
              <w:rPr>
                <w:rFonts w:ascii="Times New Roman" w:hAnsi="Times New Roman"/>
                <w:sz w:val="17"/>
              </w:rPr>
              <w:t>Abbreviated record only: Scopus-derived title/abstract/key-word variant, 2006–2026.</w:t>
            </w:r>
          </w:p>
        </w:tc>
        <w:tc>
          <w:tcPr>
            <w:tcW w:type="dxa" w:w="1296"/>
            <w:vAlign w:val="top"/>
          </w:tcPr>
          <w:p>
            <w:pPr>
              <w:spacing w:after="0"/>
            </w:pPr>
            <w:r>
              <w:rPr>
                <w:rFonts w:ascii="Times New Roman" w:hAnsi="Times New Roman"/>
                <w:sz w:val="17"/>
              </w:rPr>
              <w:t>25 displayed/exported</w:t>
            </w:r>
          </w:p>
        </w:tc>
        <w:tc>
          <w:tcPr>
            <w:tcW w:type="dxa" w:w="2448"/>
            <w:vAlign w:val="top"/>
          </w:tcPr>
          <w:p>
            <w:pPr>
              <w:spacing w:after="0"/>
            </w:pPr>
            <w:r>
              <w:rPr>
                <w:rFonts w:ascii="Times New Roman" w:hAnsi="Times New Roman"/>
                <w:sz w:val="17"/>
              </w:rPr>
              <w:t>Exact as-run string, filters, cap and platform configuration are not documented.</w:t>
            </w:r>
          </w:p>
        </w:tc>
      </w:tr>
      <w:tr>
        <w:tc>
          <w:tcPr>
            <w:tcW w:type="dxa" w:w="1656"/>
            <w:vAlign w:val="top"/>
          </w:tcPr>
          <w:p>
            <w:pPr>
              <w:spacing w:after="0"/>
            </w:pPr>
            <w:r>
              <w:rPr>
                <w:rFonts w:ascii="Times New Roman" w:hAnsi="Times New Roman"/>
                <w:sz w:val="17"/>
              </w:rPr>
              <w:t>Google Scholar; 17 Sep 2026</w:t>
            </w:r>
          </w:p>
        </w:tc>
        <w:tc>
          <w:tcPr>
            <w:tcW w:type="dxa" w:w="4680"/>
            <w:vAlign w:val="top"/>
          </w:tcPr>
          <w:p>
            <w:pPr>
              <w:spacing w:after="0"/>
            </w:pPr>
            <w:r>
              <w:rPr>
                <w:rFonts w:ascii="Times New Roman" w:hAnsi="Times New Roman"/>
                <w:sz w:val="17"/>
              </w:rPr>
              <w:t>Q1 "avian influenza" Nigeria; Q2 H5N1 Nigeria; Q3 H9N2 Nigeria; Q4 poultry Nigeria wild birds; relevance; cap 200/query.</w:t>
            </w:r>
          </w:p>
        </w:tc>
        <w:tc>
          <w:tcPr>
            <w:tcW w:type="dxa" w:w="1296"/>
            <w:vAlign w:val="top"/>
          </w:tcPr>
          <w:p>
            <w:pPr>
              <w:spacing w:after="0"/>
            </w:pPr>
            <w:r>
              <w:rPr>
                <w:rFonts w:ascii="Times New Roman" w:hAnsi="Times New Roman"/>
                <w:sz w:val="17"/>
              </w:rPr>
              <w:t>140 retrieved; 99 unique</w:t>
            </w:r>
          </w:p>
        </w:tc>
        <w:tc>
          <w:tcPr>
            <w:tcW w:type="dxa" w:w="2448"/>
            <w:vAlign w:val="top"/>
          </w:tcPr>
          <w:p>
            <w:pPr>
              <w:spacing w:after="0"/>
            </w:pPr>
            <w:r>
              <w:rPr>
                <w:rFonts w:ascii="Times New Roman" w:hAnsi="Times New Roman"/>
                <w:sz w:val="17"/>
              </w:rPr>
              <w:t>Supplementary only; no persistent export. Not a primary PRISMA identification layer.</w:t>
            </w:r>
          </w:p>
        </w:tc>
      </w:tr>
      <w:tr>
        <w:tc>
          <w:tcPr>
            <w:tcW w:type="dxa" w:w="1656"/>
            <w:vAlign w:val="top"/>
          </w:tcPr>
          <w:p>
            <w:pPr>
              <w:spacing w:after="0"/>
            </w:pPr>
            <w:r>
              <w:rPr>
                <w:rFonts w:ascii="Times New Roman" w:hAnsi="Times New Roman"/>
                <w:sz w:val="17"/>
              </w:rPr>
              <w:t>AJOL; 20 Sep 2026</w:t>
            </w:r>
          </w:p>
        </w:tc>
        <w:tc>
          <w:tcPr>
            <w:tcW w:type="dxa" w:w="4680"/>
            <w:vAlign w:val="top"/>
          </w:tcPr>
          <w:p>
            <w:pPr>
              <w:spacing w:after="0"/>
            </w:pPr>
            <w:r>
              <w:rPr>
                <w:rFonts w:ascii="Times New Roman" w:hAnsi="Times New Roman"/>
                <w:sz w:val="17"/>
              </w:rPr>
              <w:t>Nine exact mandatory-term queries are listed below.</w:t>
            </w:r>
          </w:p>
        </w:tc>
        <w:tc>
          <w:tcPr>
            <w:tcW w:type="dxa" w:w="1296"/>
            <w:vAlign w:val="top"/>
          </w:tcPr>
          <w:p>
            <w:pPr>
              <w:spacing w:after="0"/>
            </w:pPr>
            <w:r>
              <w:rPr>
                <w:rFonts w:ascii="Times New Roman" w:hAnsi="Times New Roman"/>
                <w:sz w:val="17"/>
              </w:rPr>
              <w:t>144 query rows; 79 unique URLs; 73 in-window</w:t>
            </w:r>
          </w:p>
        </w:tc>
        <w:tc>
          <w:tcPr>
            <w:tcW w:type="dxa" w:w="2448"/>
            <w:vAlign w:val="top"/>
          </w:tcPr>
          <w:p>
            <w:pPr>
              <w:spacing w:after="0"/>
            </w:pPr>
            <w:r>
              <w:rPr>
                <w:rFonts w:ascii="Times New Roman" w:hAnsi="Times New Roman"/>
                <w:sz w:val="17"/>
              </w:rPr>
              <w:t>Citation metadata captured; no substantive screening decision.</w:t>
            </w:r>
          </w:p>
        </w:tc>
      </w:tr>
    </w:tbl>
    <w:p>
      <w:pPr>
        <w:keepNext w:val="0"/>
        <w:spacing w:before="0" w:after="80"/>
      </w:pPr>
      <w:r>
        <w:rPr/>
        <w:t>PubMed full v3 base, as documented in Workbench/run_pubmed_v3.py: (avian influenza[tiab] OR avian flu[tiab] OR bird flu[tiab] OR fowl plague[tiab] OR avian influenza virus[tiab] OR AIV[tiab] OR highly pathogenic avian influenza[tiab] OR HPAI[tiab] OR low pathogenic avian influenza[tiab] OR LPAI[tiab] OR H5N1[tiab] OR H5N2[tiab] OR H5N6[tiab] OR H5N8[tiab] OR H9N2[tiab] OR H7N9[tiab] OR H5Nx[tiab]) AND (Nigeria[Mesh] OR Nigeria[tiab] OR Nigerian[tiab]) AND ("2006/01/01"[dp] : "2026/09/30"[dp]).</w:t>
      </w:r>
    </w:p>
    <w:p>
      <w:pPr>
        <w:keepNext w:val="0"/>
        <w:spacing w:before="0" w:after="80"/>
      </w:pPr>
      <w:r>
        <w:rPr/>
        <w:t>PubMed full v3 molecular facet, as documented in the same execution record: base AND (genome[tiab] OR molecular[tiab] OR phylogen*[tiab] OR clade[tiab] OR lineage[tiab] OR reassort*[tiab] OR mutation[tiab] OR evolution[tiab]).</w:t>
      </w:r>
    </w:p>
    <w:p>
      <w:pPr>
        <w:keepNext w:val="0"/>
        <w:spacing w:before="0" w:after="80"/>
      </w:pPr>
      <w:r>
        <w:rPr/>
        <w:t>WoS Core Collection base, as documented in the 20 September 2026 run sheet: ("avian influenza" OR "avian flu" OR "influenza A virus" OR "influenza A" OR H5N1 OR H5N2 OR H5N6 OR H5N8 OR H5Nx OR H7N1 OR H7N3 OR H7N4 OR H7N7 OR H9N2) AND (Nigeria OR Nigerian). Molecular, epidemiology and wild-bird lines appended the respective facet blocks recorded in that run sheet.</w:t>
      </w:r>
    </w:p>
    <w:p>
      <w:pPr>
        <w:keepNext w:val="0"/>
        <w:spacing w:before="0" w:after="160"/>
      </w:pPr>
      <w:r>
        <w:rPr/>
        <w:t>AJOL exact queries: +Nigeria +"avian influenza"; +Nigeria +"influenza A virus"; +Nigeria +"H5N1"; +Nigeria +"H5N8"; +Nigeria +"H9N2"; +Nigeria +"H7N7"; +Nigeria +"avian influenza" +molecular; +Nigeria +"avian influenza" +epidemiology; and +Nigeria +"avian influenza" +"wild bird".</w:t>
      </w:r>
    </w:p>
    <w:p>
      <w:pPr>
        <w:pStyle w:val="Heading2"/>
        <w:keepNext/>
      </w:pPr>
      <w:r>
        <w:rPr/>
        <w:t>Identification and status boundary</w:t>
      </w:r>
    </w:p>
    <w:p>
      <w:pPr>
        <w:keepNext w:val="0"/>
        <w:spacing w:before="0" w:after="120"/>
      </w:pPr>
      <w:r>
        <w:t>The canonical register reports 2,367 source rows, 1,877 provisional identity groups and 490 collapsed duplicate rows. The controlled title/metadata-screening denominator is 1,877. An adjudicated R1/R2 pilot of 40 records produced 25 clear exclusions and 15 provisional full-text candidates. Batch R1-B1 then screened the first 100 non-pilot canonical records by canonical_id order (CAN-0015 through CAN-0134 with pilot IDs omitted): exact R1/R2 agreement (100/100), no adjudication disagreements, 17 Include-for-full-text, 10 Unsure/retain-for-full-text and 73 Exclude. Batch B2 screened the next 100 non-pilot canonical records after B1 (CAN-0135-CAN-0240, with pilot IDs omitted): final adjudication retained 17 provisional full-text candidates and excluded 83 records after eight disagreements. Batch B3 screened CAN-0241-CAN-0340: final adjudication retained 13 provisional full-text candidates and excluded 87 records. Batch B4 screened CAN-0381-CAN-0480: R1/R2 had exact agreement (100/100), with 0 clear Include-for-full-text, 11 Unsure/retain-for-full-text and 89 Exclude decisions; no disagreements occurred, and all 11 uncertain records were retained for full text. Cumulatively, 440 title/metadata records have been screened, with 357 clear exclusions and 83 provisional full-text candidates. These outcomes do not finalise study inclusion or PRISMA counts. The remaining 1,437 canonical identities are unresolved/non-final; full-text assessment, extraction, risk-of-bias appraisal, certainty assessment, final PRISMA flow and SWiM synthesis remain pending.</w:t>
      </w:r>
    </w:p>
    <w:p>
      <w:pPr>
        <w:pStyle w:val="Heading2"/>
        <w:keepNext/>
      </w:pPr>
      <w:r>
        <w:rPr/>
        <w:t>Completion-gate audit</w:t>
      </w:r>
    </w:p>
    <w:tbl>
      <w:tblPr>
        <w:tblW w:type="auto" w:w="0"/>
        <w:jc w:val="center"/>
        <w:tblLayout w:type="fixed"/>
        <w:tblLook w:firstColumn="1" w:firstRow="1" w:lastColumn="0" w:lastRow="0" w:noHBand="0" w:noVBand="1" w:val="04A0"/>
      </w:tblPr>
      <w:tblGrid>
        <w:gridCol w:w="3120"/>
        <w:gridCol w:w="3120"/>
        <w:gridCol w:w="3120"/>
      </w:tblGrid>
      <w:tr>
        <w:trPr>
          <w:tblHeader w:val="true"/>
        </w:trPr>
        <w:tc>
          <w:tcPr>
            <w:tcW w:type="dxa" w:w="792"/>
            <w:vAlign w:val="center"/>
            <w:shd w:fill="D9E2F3"/>
          </w:tcPr>
          <w:p>
            <w:pPr>
              <w:spacing w:after="0"/>
            </w:pPr>
            <w:r>
              <w:rPr>
                <w:rFonts w:ascii="Times New Roman" w:hAnsi="Times New Roman"/>
                <w:b/>
                <w:sz w:val="17"/>
              </w:rPr>
              <w:t>Gate</w:t>
            </w:r>
          </w:p>
        </w:tc>
        <w:tc>
          <w:tcPr>
            <w:tcW w:type="dxa" w:w="4032"/>
            <w:vAlign w:val="center"/>
            <w:shd w:fill="D9E2F3"/>
          </w:tcPr>
          <w:p>
            <w:pPr>
              <w:spacing w:after="0"/>
            </w:pPr>
            <w:r>
              <w:rPr>
                <w:rFonts w:ascii="Times New Roman" w:hAnsi="Times New Roman"/>
                <w:b/>
                <w:sz w:val="17"/>
              </w:rPr>
              <w:t>Required stage</w:t>
            </w:r>
          </w:p>
        </w:tc>
        <w:tc>
          <w:tcPr>
            <w:tcW w:type="dxa" w:w="5256"/>
            <w:vAlign w:val="center"/>
            <w:shd w:fill="D9E2F3"/>
          </w:tcPr>
          <w:p>
            <w:pPr>
              <w:spacing w:after="0"/>
            </w:pPr>
            <w:r>
              <w:rPr>
                <w:rFonts w:ascii="Times New Roman" w:hAnsi="Times New Roman"/>
                <w:b/>
                <w:sz w:val="17"/>
              </w:rPr>
              <w:t>Status at 20 Sep 2026</w:t>
            </w:r>
          </w:p>
        </w:tc>
      </w:tr>
      <w:tr>
        <w:tc>
          <w:tcPr>
            <w:tcW w:type="dxa" w:w="792"/>
            <w:vAlign w:val="top"/>
          </w:tcPr>
          <w:p>
            <w:pPr>
              <w:spacing w:after="0"/>
            </w:pPr>
            <w:r>
              <w:rPr>
                <w:rFonts w:ascii="Times New Roman" w:hAnsi="Times New Roman"/>
                <w:sz w:val="17"/>
              </w:rPr>
              <w:t>C</w:t>
            </w:r>
          </w:p>
        </w:tc>
        <w:tc>
          <w:tcPr>
            <w:tcW w:type="dxa" w:w="4032"/>
            <w:vAlign w:val="top"/>
          </w:tcPr>
          <w:p>
            <w:pPr>
              <w:spacing w:after="0"/>
            </w:pPr>
            <w:r>
              <w:rPr>
                <w:rFonts w:ascii="Times New Roman" w:hAnsi="Times New Roman"/>
                <w:sz w:val="17"/>
              </w:rPr>
              <w:t>Screening reconciliation</w:t>
            </w:r>
          </w:p>
        </w:tc>
        <w:tc>
          <w:tcPr>
            <w:tcW w:type="dxa" w:w="5256"/>
            <w:vAlign w:val="top"/>
          </w:tcPr>
          <w:p>
            <w:r>
              <w:t>Open - 440 title/metadata records screened (40 adjudicated pilot + 100-record Batch R1-B1 + 100-record Batch B2 + 100-record Batch B3 + 100-record Batch B4): 357 clear exclusions and 83 provisional full-text candidates. The remaining 1,437 identities are unresolved/non-final.</w:t>
            </w:r>
          </w:p>
        </w:tc>
      </w:tr>
      <w:tr>
        <w:tc>
          <w:tcPr>
            <w:tcW w:type="dxa" w:w="792"/>
            <w:vAlign w:val="top"/>
          </w:tcPr>
          <w:p>
            <w:pPr>
              <w:spacing w:after="0"/>
            </w:pPr>
            <w:r>
              <w:rPr>
                <w:rFonts w:ascii="Times New Roman" w:hAnsi="Times New Roman"/>
                <w:sz w:val="17"/>
              </w:rPr>
              <w:t>D</w:t>
            </w:r>
          </w:p>
        </w:tc>
        <w:tc>
          <w:tcPr>
            <w:tcW w:type="dxa" w:w="4032"/>
            <w:vAlign w:val="top"/>
          </w:tcPr>
          <w:p>
            <w:pPr>
              <w:spacing w:after="0"/>
            </w:pPr>
            <w:r>
              <w:rPr>
                <w:rFonts w:ascii="Times New Roman" w:hAnsi="Times New Roman"/>
                <w:sz w:val="17"/>
              </w:rPr>
              <w:t>Full-text eligibility</w:t>
            </w:r>
          </w:p>
        </w:tc>
        <w:tc>
          <w:tcPr>
            <w:tcW w:type="dxa" w:w="5256"/>
            <w:vAlign w:val="top"/>
          </w:tcPr>
          <w:p>
            <w:r>
              <w:t>Pending - 83 provisional candidates await full-text assessment; no final eligibility decisions.</w:t>
            </w:r>
          </w:p>
        </w:tc>
      </w:tr>
      <w:tr>
        <w:tc>
          <w:tcPr>
            <w:tcW w:type="dxa" w:w="792"/>
            <w:vAlign w:val="top"/>
          </w:tcPr>
          <w:p>
            <w:pPr>
              <w:spacing w:after="0"/>
            </w:pPr>
            <w:r>
              <w:rPr>
                <w:rFonts w:ascii="Times New Roman" w:hAnsi="Times New Roman"/>
                <w:sz w:val="17"/>
              </w:rPr>
              <w:t>E</w:t>
            </w:r>
          </w:p>
        </w:tc>
        <w:tc>
          <w:tcPr>
            <w:tcW w:type="dxa" w:w="4032"/>
            <w:vAlign w:val="top"/>
          </w:tcPr>
          <w:p>
            <w:pPr>
              <w:spacing w:after="0"/>
            </w:pPr>
            <w:r>
              <w:rPr>
                <w:rFonts w:ascii="Times New Roman" w:hAnsi="Times New Roman"/>
                <w:sz w:val="17"/>
              </w:rPr>
              <w:t>Extraction pilot</w:t>
            </w:r>
          </w:p>
        </w:tc>
        <w:tc>
          <w:tcPr>
            <w:tcW w:type="dxa" w:w="5256"/>
            <w:vAlign w:val="top"/>
          </w:tcPr>
          <w:p>
            <w:pPr>
              <w:spacing w:after="0"/>
            </w:pPr>
            <w:r>
              <w:rPr>
                <w:rFonts w:ascii="Times New Roman" w:hAnsi="Times New Roman"/>
                <w:sz w:val="17"/>
              </w:rPr>
              <w:t>Pending – no records extracted.</w:t>
            </w:r>
          </w:p>
        </w:tc>
      </w:tr>
      <w:tr>
        <w:tc>
          <w:tcPr>
            <w:tcW w:type="dxa" w:w="792"/>
            <w:vAlign w:val="top"/>
          </w:tcPr>
          <w:p>
            <w:pPr>
              <w:spacing w:after="0"/>
            </w:pPr>
            <w:r>
              <w:rPr>
                <w:rFonts w:ascii="Times New Roman" w:hAnsi="Times New Roman"/>
                <w:sz w:val="17"/>
              </w:rPr>
              <w:t>F</w:t>
            </w:r>
          </w:p>
        </w:tc>
        <w:tc>
          <w:tcPr>
            <w:tcW w:type="dxa" w:w="4032"/>
            <w:vAlign w:val="top"/>
          </w:tcPr>
          <w:p>
            <w:pPr>
              <w:spacing w:after="0"/>
            </w:pPr>
            <w:r>
              <w:rPr>
                <w:rFonts w:ascii="Times New Roman" w:hAnsi="Times New Roman"/>
                <w:sz w:val="17"/>
              </w:rPr>
              <w:t>Full extraction and evidence tables</w:t>
            </w:r>
          </w:p>
        </w:tc>
        <w:tc>
          <w:tcPr>
            <w:tcW w:type="dxa" w:w="5256"/>
            <w:vAlign w:val="top"/>
          </w:tcPr>
          <w:p>
            <w:pPr>
              <w:spacing w:after="0"/>
            </w:pPr>
            <w:r>
              <w:rPr>
                <w:rFonts w:ascii="Times New Roman" w:hAnsi="Times New Roman"/>
                <w:sz w:val="17"/>
              </w:rPr>
              <w:t>Pending – no records extracted.</w:t>
            </w:r>
          </w:p>
        </w:tc>
      </w:tr>
      <w:tr>
        <w:tc>
          <w:tcPr>
            <w:tcW w:type="dxa" w:w="792"/>
            <w:vAlign w:val="top"/>
          </w:tcPr>
          <w:p>
            <w:pPr>
              <w:spacing w:after="0"/>
            </w:pPr>
            <w:r>
              <w:rPr>
                <w:rFonts w:ascii="Times New Roman" w:hAnsi="Times New Roman"/>
                <w:sz w:val="17"/>
              </w:rPr>
              <w:t>G</w:t>
            </w:r>
          </w:p>
        </w:tc>
        <w:tc>
          <w:tcPr>
            <w:tcW w:type="dxa" w:w="4032"/>
            <w:vAlign w:val="top"/>
          </w:tcPr>
          <w:p>
            <w:pPr>
              <w:spacing w:after="0"/>
            </w:pPr>
            <w:r>
              <w:rPr>
                <w:rFonts w:ascii="Times New Roman" w:hAnsi="Times New Roman"/>
                <w:sz w:val="17"/>
              </w:rPr>
              <w:t>JBI and molecular risk-of-bias appraisal</w:t>
            </w:r>
          </w:p>
        </w:tc>
        <w:tc>
          <w:tcPr>
            <w:tcW w:type="dxa" w:w="5256"/>
            <w:vAlign w:val="top"/>
          </w:tcPr>
          <w:p>
            <w:pPr>
              <w:spacing w:after="0"/>
            </w:pPr>
            <w:r>
              <w:rPr>
                <w:rFonts w:ascii="Times New Roman" w:hAnsi="Times New Roman"/>
                <w:sz w:val="17"/>
              </w:rPr>
              <w:t>Pending – no records appraised.</w:t>
            </w:r>
          </w:p>
        </w:tc>
      </w:tr>
      <w:tr>
        <w:tc>
          <w:tcPr>
            <w:tcW w:type="dxa" w:w="792"/>
            <w:vAlign w:val="top"/>
          </w:tcPr>
          <w:p>
            <w:pPr>
              <w:spacing w:after="0"/>
            </w:pPr>
            <w:r>
              <w:rPr>
                <w:rFonts w:ascii="Times New Roman" w:hAnsi="Times New Roman"/>
                <w:sz w:val="17"/>
              </w:rPr>
              <w:t>H</w:t>
            </w:r>
          </w:p>
        </w:tc>
        <w:tc>
          <w:tcPr>
            <w:tcW w:type="dxa" w:w="4032"/>
            <w:vAlign w:val="top"/>
          </w:tcPr>
          <w:p>
            <w:pPr>
              <w:spacing w:after="0"/>
            </w:pPr>
            <w:r>
              <w:rPr>
                <w:rFonts w:ascii="Times New Roman" w:hAnsi="Times New Roman"/>
                <w:sz w:val="17"/>
              </w:rPr>
              <w:t>SWiM synthesis and certainty narrative</w:t>
            </w:r>
          </w:p>
        </w:tc>
        <w:tc>
          <w:tcPr>
            <w:tcW w:type="dxa" w:w="5256"/>
            <w:vAlign w:val="top"/>
          </w:tcPr>
          <w:p>
            <w:pPr>
              <w:spacing w:after="0"/>
            </w:pPr>
            <w:r>
              <w:rPr>
                <w:rFonts w:ascii="Times New Roman" w:hAnsi="Times New Roman"/>
                <w:sz w:val="17"/>
              </w:rPr>
              <w:t>Pending – no synthesis or certainty narrative.</w:t>
            </w:r>
          </w:p>
        </w:tc>
      </w:tr>
      <w:tr>
        <w:tc>
          <w:tcPr>
            <w:tcW w:type="dxa" w:w="792"/>
            <w:vAlign w:val="top"/>
          </w:tcPr>
          <w:p>
            <w:pPr>
              <w:spacing w:after="0"/>
            </w:pPr>
            <w:r>
              <w:rPr>
                <w:rFonts w:ascii="Times New Roman" w:hAnsi="Times New Roman"/>
                <w:sz w:val="17"/>
              </w:rPr>
              <w:t>I</w:t>
            </w:r>
          </w:p>
        </w:tc>
        <w:tc>
          <w:tcPr>
            <w:tcW w:type="dxa" w:w="4032"/>
            <w:vAlign w:val="top"/>
          </w:tcPr>
          <w:p>
            <w:pPr>
              <w:spacing w:after="0"/>
            </w:pPr>
            <w:r>
              <w:rPr>
                <w:rFonts w:ascii="Times New Roman" w:hAnsi="Times New Roman"/>
                <w:sz w:val="17"/>
              </w:rPr>
              <w:t>PRISMA flow and manuscript reporting</w:t>
            </w:r>
          </w:p>
        </w:tc>
        <w:tc>
          <w:tcPr>
            <w:tcW w:type="dxa" w:w="5256"/>
            <w:vAlign w:val="top"/>
          </w:tcPr>
          <w:p>
            <w:pPr>
              <w:spacing w:after="0"/>
            </w:pPr>
            <w:r>
              <w:rPr>
                <w:rFonts w:ascii="Times New Roman" w:hAnsi="Times New Roman"/>
                <w:sz w:val="17"/>
              </w:rPr>
              <w:t>Pending – no final counts or flow.</w:t>
            </w:r>
          </w:p>
        </w:tc>
      </w:tr>
      <w:tr>
        <w:tc>
          <w:tcPr>
            <w:tcW w:type="dxa" w:w="792"/>
            <w:vAlign w:val="top"/>
          </w:tcPr>
          <w:p>
            <w:pPr>
              <w:spacing w:after="0"/>
            </w:pPr>
            <w:r>
              <w:rPr>
                <w:rFonts w:ascii="Times New Roman" w:hAnsi="Times New Roman"/>
                <w:sz w:val="17"/>
              </w:rPr>
              <w:t>J</w:t>
            </w:r>
          </w:p>
        </w:tc>
        <w:tc>
          <w:tcPr>
            <w:tcW w:type="dxa" w:w="4032"/>
            <w:vAlign w:val="top"/>
          </w:tcPr>
          <w:p>
            <w:pPr>
              <w:spacing w:after="0"/>
            </w:pPr>
            <w:r>
              <w:rPr>
                <w:rFonts w:ascii="Times New Roman" w:hAnsi="Times New Roman"/>
                <w:sz w:val="17"/>
              </w:rPr>
              <w:t>PRISMA 2020/PRISMA-S/SWiM audit</w:t>
            </w:r>
          </w:p>
        </w:tc>
        <w:tc>
          <w:tcPr>
            <w:tcW w:type="dxa" w:w="5256"/>
            <w:vAlign w:val="top"/>
          </w:tcPr>
          <w:p>
            <w:pPr>
              <w:spacing w:after="0"/>
            </w:pPr>
            <w:r>
              <w:rPr>
                <w:rFonts w:ascii="Times New Roman" w:hAnsi="Times New Roman"/>
                <w:sz w:val="17"/>
              </w:rPr>
              <w:t>Pending – final audit pending.</w:t>
            </w:r>
          </w:p>
        </w:tc>
      </w:tr>
    </w:tbl>
    <w:p>
      <w:pPr>
        <w:pStyle w:val="Heading2"/>
        <w:keepNext/>
      </w:pPr>
      <w:r>
        <w:rPr/>
        <w:t>Required completion steps</w:t>
      </w:r>
    </w:p>
    <w:p>
      <w:pPr>
        <w:keepNext w:val="0"/>
        <w:spacing w:before="0" w:after="120"/>
      </w:pPr>
      <w:r>
        <w:rPr/>
        <w:t>Before submission as a completed systematic review, the team must complete independent title/abstract screening and adjudication; establish full-text eligibility with one exclusion reason per excluded report; pilot and complete extraction; appraise included studies; trace every synthesis claim to its source; reconcile PRISMA counts and prepare a flow diagram; and complete the PRISMA 2020, PRISMA-S and SWiM reporting audit. Until then, this document must be described as a submission-stage protocol and search/record-management status report.</w:t>
      </w:r>
    </w:p>
    <w:p>
      <w:r>
        <w:br w:type="page"/>
      </w:r>
    </w:p>
    <w:p>
      <w:pPr>
        <w:pStyle w:val="Heading1"/>
      </w:pPr>
      <w:r>
        <w:rPr>
          <w:rFonts w:ascii="Times New Roman" w:hAnsi="Times New Roman" w:eastAsia="Times New Roman"/>
          <w:b/>
          <w:sz w:val="24"/>
        </w:rPr>
        <w:t>Appendix B. Protocol/search closure and screening-readiness update</w:t>
      </w:r>
    </w:p>
    <w:p>
      <w:r>
        <w:t>Dated 22 September 2026. This appendix supersedes no source record: it consolidates the current gate state for this submission-stage status report, including the Batch B4 title/metadata update. It does not report final study selection, a PRISMA flow, included-study results, extraction, risk-of-bias findings or synthesis.</w:t>
      </w:r>
    </w:p>
    <w:p>
      <w:pPr>
        <w:pStyle w:val="Heading2"/>
      </w:pPr>
      <w:r>
        <w:rPr>
          <w:rFonts w:ascii="Times New Roman" w:hAnsi="Times New Roman" w:eastAsia="Times New Roman"/>
          <w:b/>
          <w:sz w:val="22"/>
        </w:rPr>
        <w:t>B1. Verified gate state</w:t>
      </w:r>
    </w:p>
    <w:tbl>
      <w:tblPr>
        <w:tblW w:type="auto" w:w="0"/>
        <w:tblLayout w:type="autofit"/>
        <w:tblLook w:firstColumn="1" w:firstRow="1" w:lastColumn="0" w:lastRow="0" w:noHBand="0" w:noVBand="1" w:val="04A0"/>
      </w:tblPr>
      <w:tblGrid>
        <w:gridCol w:w="3120"/>
        <w:gridCol w:w="3120"/>
        <w:gridCol w:w="3120"/>
      </w:tblGrid>
      <w:tr>
        <w:tc>
          <w:tcPr>
            <w:tcW w:type="dxa" w:w="3120"/>
            <w:vAlign w:val="center"/>
            <w:shd w:fill="D9EAD3"/>
          </w:tcPr>
          <w:p>
            <w:r>
              <w:rPr>
                <w:rFonts w:ascii="Times New Roman" w:hAnsi="Times New Roman" w:eastAsia="Times New Roman"/>
                <w:b/>
                <w:sz w:val="16"/>
              </w:rPr>
              <w:t>Gate</w:t>
            </w:r>
          </w:p>
        </w:tc>
        <w:tc>
          <w:tcPr>
            <w:tcW w:type="dxa" w:w="3120"/>
            <w:vAlign w:val="center"/>
            <w:shd w:fill="D9EAD3"/>
          </w:tcPr>
          <w:p>
            <w:r>
              <w:rPr>
                <w:rFonts w:ascii="Times New Roman" w:hAnsi="Times New Roman" w:eastAsia="Times New Roman"/>
                <w:b/>
                <w:sz w:val="16"/>
              </w:rPr>
              <w:t>Status at 22 September 2026</w:t>
            </w:r>
          </w:p>
        </w:tc>
        <w:tc>
          <w:tcPr>
            <w:tcW w:type="dxa" w:w="3120"/>
            <w:vAlign w:val="center"/>
            <w:shd w:fill="D9EAD3"/>
          </w:tcPr>
          <w:p>
            <w:r>
              <w:rPr>
                <w:rFonts w:ascii="Times New Roman" w:hAnsi="Times New Roman" w:eastAsia="Times New Roman"/>
                <w:b/>
                <w:sz w:val="16"/>
              </w:rPr>
              <w:t>Verified evidence and next condition</w:t>
            </w:r>
          </w:p>
        </w:tc>
      </w:tr>
      <w:tr>
        <w:tc>
          <w:tcPr>
            <w:tcW w:type="dxa" w:w="3120"/>
            <w:vAlign w:val="top"/>
          </w:tcPr>
          <w:p>
            <w:r>
              <w:rPr>
                <w:rFonts w:ascii="Times New Roman" w:hAnsi="Times New Roman" w:eastAsia="Times New Roman"/>
                <w:b w:val="0"/>
                <w:sz w:val="16"/>
              </w:rPr>
              <w:t>A: protocol truth</w:t>
            </w:r>
          </w:p>
        </w:tc>
        <w:tc>
          <w:tcPr>
            <w:tcW w:type="dxa" w:w="3120"/>
            <w:vAlign w:val="top"/>
          </w:tcPr>
          <w:p>
            <w:r>
              <w:rPr>
                <w:rFonts w:ascii="Times New Roman" w:hAnsi="Times New Roman" w:eastAsia="Times New Roman"/>
                <w:b w:val="0"/>
                <w:sz w:val="16"/>
              </w:rPr>
              <w:t>Closed</w:t>
            </w:r>
          </w:p>
        </w:tc>
        <w:tc>
          <w:tcPr>
            <w:tcW w:type="dxa" w:w="3120"/>
            <w:vAlign w:val="top"/>
          </w:tcPr>
          <w:p>
            <w:r>
              <w:rPr>
                <w:rFonts w:ascii="Times New Roman" w:hAnsi="Times New Roman" w:eastAsia="Times New Roman"/>
                <w:b w:val="0"/>
                <w:sz w:val="16"/>
              </w:rPr>
              <w:t>Question, CoCoPop/PEO framework, eligibility anchor, operational cut-off (20 September 2026), non-registration and reviewer roles are frozen.</w:t>
            </w:r>
          </w:p>
        </w:tc>
      </w:tr>
      <w:tr>
        <w:tc>
          <w:tcPr>
            <w:tcW w:type="dxa" w:w="3120"/>
            <w:vAlign w:val="top"/>
          </w:tcPr>
          <w:p>
            <w:r>
              <w:rPr>
                <w:rFonts w:ascii="Times New Roman" w:hAnsi="Times New Roman" w:eastAsia="Times New Roman"/>
                <w:b w:val="0"/>
                <w:sz w:val="16"/>
              </w:rPr>
              <w:t>B: search execution</w:t>
            </w:r>
          </w:p>
        </w:tc>
        <w:tc>
          <w:tcPr>
            <w:tcW w:type="dxa" w:w="3120"/>
            <w:vAlign w:val="top"/>
          </w:tcPr>
          <w:p>
            <w:r>
              <w:rPr>
                <w:rFonts w:ascii="Times New Roman" w:hAnsi="Times New Roman" w:eastAsia="Times New Roman"/>
                <w:b w:val="0"/>
                <w:sz w:val="16"/>
              </w:rPr>
              <w:t>Closed with export limitations</w:t>
            </w:r>
          </w:p>
        </w:tc>
        <w:tc>
          <w:tcPr>
            <w:tcW w:type="dxa" w:w="3120"/>
            <w:vAlign w:val="top"/>
          </w:tcPr>
          <w:p>
            <w:r>
              <w:rPr>
                <w:rFonts w:ascii="Times New Roman" w:hAnsi="Times New Roman" w:eastAsia="Times New Roman"/>
                <w:b w:val="0"/>
                <w:sz w:val="16"/>
              </w:rPr>
              <w:t>Executed source counts and available exports are documented below. Count-only and supplementary layers must not be used as final PRISMA identification records.</w:t>
            </w:r>
          </w:p>
        </w:tc>
      </w:tr>
      <w:tr>
        <w:tc>
          <w:tcPr>
            <w:tcW w:type="dxa" w:w="3120"/>
            <w:vAlign w:val="top"/>
          </w:tcPr>
          <w:p>
            <w:r>
              <w:rPr>
                <w:rFonts w:ascii="Times New Roman" w:hAnsi="Times New Roman" w:eastAsia="Times New Roman"/>
                <w:b w:val="0"/>
                <w:sz w:val="16"/>
              </w:rPr>
              <w:t>C: canonicalisation and title/abstract screening</w:t>
            </w:r>
          </w:p>
        </w:tc>
        <w:tc>
          <w:tcPr>
            <w:tcW w:type="dxa" w:w="3120"/>
            <w:vAlign w:val="top"/>
          </w:tcPr>
          <w:p>
            <w:r>
              <w:rPr>
                <w:rFonts w:ascii="Times New Roman" w:hAnsi="Times New Roman" w:eastAsia="Times New Roman"/>
                <w:b w:val="0"/>
                <w:sz w:val="16"/>
              </w:rPr>
              <w:t>Open</w:t>
            </w:r>
          </w:p>
        </w:tc>
        <w:tc>
          <w:tcPr>
            <w:tcW w:type="dxa" w:w="3120"/>
            <w:vAlign w:val="top"/>
          </w:tcPr>
          <w:p>
            <w:r>
              <w:t>Open | 440 title/metadata records screened: 40 pilot records independently screened by R1/R2 and adjudicated (25 clear exclusions; 15 provisional full-text candidates), Batch R1-B1 (100/100 exact agreement; 17 Include-for-full-text, 10 Unsure/retain-for-full-text, 73 Exclude; no adjudication disagreements), Batch B2 (17 retained for full text; 83 excluded after eight disagreements were adjudicated), Batch B3 (13 retained for full text; 87 excluded), and Batch B4 (CAN-0381-CAN-0480; 100/100 exact agreement; 0 clear includes, 11 uncertain records retained for full text, 89 exclusions; no disagreements). Cumulative: 357 clear exclusions and 83 provisional full-text candidates. The remaining 1,437 canonical identities are unresolved/non-final.</w:t>
            </w:r>
          </w:p>
        </w:tc>
      </w:tr>
      <w:tr>
        <w:tc>
          <w:tcPr>
            <w:tcW w:type="dxa" w:w="3120"/>
            <w:vAlign w:val="top"/>
          </w:tcPr>
          <w:p>
            <w:r>
              <w:rPr>
                <w:rFonts w:ascii="Times New Roman" w:hAnsi="Times New Roman" w:eastAsia="Times New Roman"/>
                <w:b w:val="0"/>
                <w:sz w:val="16"/>
              </w:rPr>
              <w:t>D: full-text eligibility</w:t>
            </w:r>
          </w:p>
        </w:tc>
        <w:tc>
          <w:tcPr>
            <w:tcW w:type="dxa" w:w="3120"/>
            <w:vAlign w:val="top"/>
          </w:tcPr>
          <w:p>
            <w:r>
              <w:rPr>
                <w:rFonts w:ascii="Times New Roman" w:hAnsi="Times New Roman" w:eastAsia="Times New Roman"/>
                <w:b w:val="0"/>
                <w:sz w:val="16"/>
              </w:rPr>
              <w:t>Not started</w:t>
            </w:r>
          </w:p>
        </w:tc>
        <w:tc>
          <w:tcPr>
            <w:tcW w:type="dxa" w:w="3120"/>
            <w:vAlign w:val="top"/>
          </w:tcPr>
          <w:p>
            <w:r>
              <w:t>Pending. The 83 provisional full-text candidates have not undergone full-text eligibility assessment; no fixed full-text exclusion table exists.</w:t>
            </w:r>
          </w:p>
        </w:tc>
      </w:tr>
      <w:tr>
        <w:tc>
          <w:tcPr>
            <w:tcW w:type="dxa" w:w="3120"/>
            <w:vAlign w:val="top"/>
          </w:tcPr>
          <w:p>
            <w:r>
              <w:rPr>
                <w:rFonts w:ascii="Times New Roman" w:hAnsi="Times New Roman" w:eastAsia="Times New Roman"/>
                <w:b w:val="0"/>
                <w:sz w:val="16"/>
              </w:rPr>
              <w:t>E-G: extraction, RoB and certainty</w:t>
            </w:r>
          </w:p>
        </w:tc>
        <w:tc>
          <w:tcPr>
            <w:tcW w:type="dxa" w:w="3120"/>
            <w:vAlign w:val="top"/>
          </w:tcPr>
          <w:p>
            <w:r>
              <w:rPr>
                <w:rFonts w:ascii="Times New Roman" w:hAnsi="Times New Roman" w:eastAsia="Times New Roman"/>
                <w:b w:val="0"/>
                <w:sz w:val="16"/>
              </w:rPr>
              <w:t>Not started</w:t>
            </w:r>
          </w:p>
        </w:tc>
        <w:tc>
          <w:tcPr>
            <w:tcW w:type="dxa" w:w="3120"/>
            <w:vAlign w:val="top"/>
          </w:tcPr>
          <w:p>
            <w:r>
              <w:rPr>
                <w:rFonts w:ascii="Times New Roman" w:hAnsi="Times New Roman" w:eastAsia="Times New Roman"/>
                <w:b w:val="0"/>
                <w:sz w:val="16"/>
              </w:rPr>
              <w:t>Pending. The fields are prepared below; no study has been extracted or appraised.</w:t>
            </w:r>
          </w:p>
        </w:tc>
      </w:tr>
      <w:tr>
        <w:tc>
          <w:tcPr>
            <w:tcW w:type="dxa" w:w="3120"/>
            <w:vAlign w:val="top"/>
          </w:tcPr>
          <w:p>
            <w:r>
              <w:rPr>
                <w:rFonts w:ascii="Times New Roman" w:hAnsi="Times New Roman" w:eastAsia="Times New Roman"/>
                <w:b w:val="0"/>
                <w:sz w:val="16"/>
              </w:rPr>
              <w:t>H-J: synthesis, reporting and final audit</w:t>
            </w:r>
          </w:p>
        </w:tc>
        <w:tc>
          <w:tcPr>
            <w:tcW w:type="dxa" w:w="3120"/>
            <w:vAlign w:val="top"/>
          </w:tcPr>
          <w:p>
            <w:r>
              <w:rPr>
                <w:rFonts w:ascii="Times New Roman" w:hAnsi="Times New Roman" w:eastAsia="Times New Roman"/>
                <w:b w:val="0"/>
                <w:sz w:val="16"/>
              </w:rPr>
              <w:t>Not started</w:t>
            </w:r>
          </w:p>
        </w:tc>
        <w:tc>
          <w:tcPr>
            <w:tcW w:type="dxa" w:w="3120"/>
            <w:vAlign w:val="top"/>
          </w:tcPr>
          <w:p>
            <w:r>
              <w:rPr>
                <w:rFonts w:ascii="Times New Roman" w:hAnsi="Times New Roman" w:eastAsia="Times New Roman"/>
                <w:b w:val="0"/>
                <w:sz w:val="16"/>
              </w:rPr>
              <w:t>Pending. SWiM is prespecified. No PRISMA flow, included-study set, synthesis conclusion or completed reporting audit is claimed.</w:t>
            </w:r>
          </w:p>
        </w:tc>
      </w:tr>
    </w:tbl>
    <w:p>
      <w:pPr>
        <w:pStyle w:val="Heading2"/>
      </w:pPr>
      <w:r>
        <w:t>B2. Adjudicated Batch B2 title/metadata screening update</w:t>
      </w:r>
    </w:p>
    <w:p>
      <w:pPr/>
      <w:r>
        <w:t>Batch B2 was the next 100 non-pilot canonical records after B1, CAN-0135-CAN-0240 with pilot IDs omitted. R1 retained 20 records (10 Include-for-full-text and 10 Unsure/retain-for-full-text) and excluded 80. R2 retained 17 and excluded 83 in aggregate. Eight R1/R2 disagreements were identified during comparison. Final adjudication retained 17 records for full-text assessment and excluded 83. CAN-0151, CAN-0154 and CAN-0156 were excluded as clear global/non-Nigeria records. CAN-0189, CAN-0215 and CAN-0232 were retained for full text under the conservative uncertainty rule. R2-only retains CAN-0210 and CAN-0234 were excluded because title-level evidence did not establish eligible avian-AIV empirical data under the frozen criteria. The other 14 R1 retained IDs were unchanged. Every retained B2 record is a provisional full-text candidate, not a final included study.</w:t>
      </w:r>
    </w:p>
    <w:p>
      <w:pPr>
        <w:pStyle w:val="Heading2"/>
      </w:pPr>
      <w:r>
        <w:t>B3. Adjudicated Batch B3 title/metadata screening update</w:t>
      </w:r>
    </w:p>
    <w:p>
      <w:pPr/>
      <w:r>
        <w:t>Batch B3 comprised CAN-0241-CAN-0340 (100 records). R1 recorded 7 Include-for-full-text and 5 Unsure/retain-for-full-text decisions, with 88 Exclude; R2 recorded 7 Retain and 1 Unsure decision, with 92 Exclude. Cross-reviewer uncertainty/disagreement affected CAN-0245, CAN-0258, CAN-0266, CAN-0282, CAN-0317 and CAN-0340. Under the conservative rule, all six were retained for full-text review; the seven clear R1/R2 retains remained retained. Final B3 disposition: 13 provisional full-text candidates and 87 exclusions. These are not final included studies.</w:t>
      </w:r>
    </w:p>
    <w:p>
      <w:pPr>
        <w:pStyle w:val="Heading2"/>
      </w:pPr>
      <w:r>
        <w:t>B4. Batch B4 title/metadata screening update</w:t>
      </w:r>
    </w:p>
    <w:p>
      <w:pPr/>
      <w:r>
        <w:t>Batch B4 comprised CAN-0381-CAN-0480 (100 records). R1 and R2 had exact agreement (100/100): 0 clear Include-for-full-text decisions, 11 Unsure/retain-for-full-text decisions and 89 Exclude decisions. No disagreements occurred. All 11 uncertain records were retained conservatively for full-text assessment. These are provisional full-text candidates, not final included studies.</w:t>
      </w:r>
    </w:p>
    <w:p>
      <w:pPr>
        <w:pStyle w:val="Heading2"/>
      </w:pPr>
      <w:r>
        <w:t>B4. Authoritative eligibility and screening rule</w:t>
      </w:r>
    </w:p>
    <w:p>
      <w:r>
        <w:rPr>
          <w:rFonts w:ascii="Times New Roman" w:hAnsi="Times New Roman" w:eastAsia="Times New Roman"/>
          <w:b w:val="0"/>
          <w:sz w:val="20"/>
        </w:rPr>
        <w:t>A report is eligible only when it provides Nigeria-specific empirical data on laboratory-confirmed highly pathogenic or low-pathogenic avian influenza in avian hosts and reports at least one eligible evidence type: (i) epidemiological evidence (including surveillance, outbreak or prevalence data), (ii) molecular or phylogenetic evidence, or (iii) spatial or temporal data. Eligible designs are primary research, surveillance, outbreak investigation and molecular-epidemiology reports with extractable empirical data. A host label alone is not a separate route to inclusion.</w:t>
      </w:r>
    </w:p>
    <w:p>
      <w:r>
        <w:rPr>
          <w:rFonts w:ascii="Times New Roman" w:hAnsi="Times New Roman" w:eastAsia="Times New Roman"/>
          <w:b w:val="0"/>
          <w:sz w:val="20"/>
        </w:rPr>
        <w:t>At title/abstract screening, exclude only a clearly non-Nigeria record, non-avian-influenza record, non-study/no-primary-data record, or record without any eligible evidence type. Retain uncertainty for full-text assessment. At full text, use one fixed exclusion reason: non-Nigeria/no Nigeria data; non-AIV; no epidemiological, molecular, spatial or temporal data; no primary data; experimental-only without field relevance; duplicate dataset (linked to the primary report); or unretrievable after the prespecified retrieval process. Subtype, clade/sublineage, reassortant genotype and introduction are recorded as distinct concepts and must not be inferred from one another.</w:t>
      </w:r>
    </w:p>
    <w:p>
      <w:pPr>
        <w:pStyle w:val="Heading2"/>
      </w:pPr>
      <w:r>
        <w:t>B5. Corrected search architecture and source-status boundary</w:t>
      </w:r>
    </w:p>
    <w:p>
      <w:r>
        <w:rPr>
          <w:rFonts w:ascii="Times New Roman" w:hAnsi="Times New Roman" w:eastAsia="Times New Roman"/>
          <w:b w:val="0"/>
          <w:sz w:val="20"/>
        </w:rPr>
        <w:t>The frozen architecture is (AIV concept) AND (Nigeria concept) AND (date limit); molecular/evolutionary, epidemiology/spatial-temporal and wild-bird/host terms are separate facets. Nigeria is not embedded inside either the AIV or facet blocks. Exact as-run PubMed base and molecular strings, the imported WoS API string, the WoS browser facet lines and the nine AJOL queries are retained in Appendix A and the dated run sheet. Overlapping facets and source layers are not additive.</w:t>
      </w:r>
    </w:p>
    <w:tbl>
      <w:tblPr>
        <w:tblW w:type="auto" w:w="0"/>
        <w:tblLayout w:type="autofit"/>
        <w:tblLook w:firstColumn="1" w:firstRow="1" w:lastColumn="0" w:lastRow="0" w:noHBand="0" w:noVBand="1" w:val="04A0"/>
      </w:tblPr>
      <w:tblGrid>
        <w:gridCol w:w="3120"/>
        <w:gridCol w:w="3120"/>
        <w:gridCol w:w="3120"/>
      </w:tblGrid>
      <w:tr>
        <w:tc>
          <w:tcPr>
            <w:tcW w:type="dxa" w:w="3120"/>
            <w:vAlign w:val="center"/>
            <w:shd w:fill="D9EAD3"/>
          </w:tcPr>
          <w:p>
            <w:r>
              <w:rPr>
                <w:rFonts w:ascii="Times New Roman" w:hAnsi="Times New Roman" w:eastAsia="Times New Roman"/>
                <w:b/>
                <w:sz w:val="14"/>
              </w:rPr>
              <w:t>Source/layer</w:t>
            </w:r>
          </w:p>
        </w:tc>
        <w:tc>
          <w:tcPr>
            <w:tcW w:type="dxa" w:w="3120"/>
            <w:vAlign w:val="center"/>
            <w:shd w:fill="D9EAD3"/>
          </w:tcPr>
          <w:p>
            <w:r>
              <w:rPr>
                <w:rFonts w:ascii="Times New Roman" w:hAnsi="Times New Roman" w:eastAsia="Times New Roman"/>
                <w:b/>
                <w:sz w:val="14"/>
              </w:rPr>
              <w:t>Dated verified count</w:t>
            </w:r>
          </w:p>
        </w:tc>
        <w:tc>
          <w:tcPr>
            <w:tcW w:type="dxa" w:w="3120"/>
            <w:vAlign w:val="center"/>
            <w:shd w:fill="D9EAD3"/>
          </w:tcPr>
          <w:p>
            <w:r>
              <w:rPr>
                <w:rFonts w:ascii="Times New Roman" w:hAnsi="Times New Roman" w:eastAsia="Times New Roman"/>
                <w:b/>
                <w:sz w:val="14"/>
              </w:rPr>
              <w:t>Record/export limitation</w:t>
            </w:r>
          </w:p>
        </w:tc>
      </w:tr>
      <w:tr>
        <w:tc>
          <w:tcPr>
            <w:tcW w:type="dxa" w:w="3120"/>
            <w:vAlign w:val="top"/>
          </w:tcPr>
          <w:p>
            <w:r>
              <w:rPr>
                <w:rFonts w:ascii="Times New Roman" w:hAnsi="Times New Roman" w:eastAsia="Times New Roman"/>
                <w:b w:val="0"/>
                <w:sz w:val="14"/>
              </w:rPr>
              <w:t>PubMed/MEDLINE v3</w:t>
            </w:r>
          </w:p>
        </w:tc>
        <w:tc>
          <w:tcPr>
            <w:tcW w:type="dxa" w:w="3120"/>
            <w:vAlign w:val="top"/>
          </w:tcPr>
          <w:p>
            <w:r>
              <w:rPr>
                <w:rFonts w:ascii="Times New Roman" w:hAnsi="Times New Roman" w:eastAsia="Times New Roman"/>
                <w:b w:val="0"/>
                <w:sz w:val="14"/>
              </w:rPr>
              <w:t>16 Sep 2026: 140 base; 53 molecular-facet</w:t>
            </w:r>
          </w:p>
        </w:tc>
        <w:tc>
          <w:tcPr>
            <w:tcW w:type="dxa" w:w="3120"/>
            <w:vAlign w:val="top"/>
          </w:tcPr>
          <w:p>
            <w:r>
              <w:rPr>
                <w:rFonts w:ascii="Times New Roman" w:hAnsi="Times New Roman" w:eastAsia="Times New Roman"/>
                <w:b w:val="0"/>
                <w:sz w:val="14"/>
              </w:rPr>
              <w:t>Persistent base and molecular records; date filter was 2006/01/01-2026/09/30. The exact executed strings are retained in Appendix A.</w:t>
            </w:r>
          </w:p>
        </w:tc>
      </w:tr>
      <w:tr>
        <w:tc>
          <w:tcPr>
            <w:tcW w:type="dxa" w:w="3120"/>
            <w:vAlign w:val="top"/>
          </w:tcPr>
          <w:p>
            <w:r>
              <w:rPr>
                <w:rFonts w:ascii="Times New Roman" w:hAnsi="Times New Roman" w:eastAsia="Times New Roman"/>
                <w:b w:val="0"/>
                <w:sz w:val="14"/>
              </w:rPr>
              <w:t>Scopus</w:t>
            </w:r>
          </w:p>
        </w:tc>
        <w:tc>
          <w:tcPr>
            <w:tcW w:type="dxa" w:w="3120"/>
            <w:vAlign w:val="top"/>
          </w:tcPr>
          <w:p>
            <w:r>
              <w:rPr>
                <w:rFonts w:ascii="Times New Roman" w:hAnsi="Times New Roman" w:eastAsia="Times New Roman"/>
                <w:b w:val="0"/>
                <w:sz w:val="14"/>
              </w:rPr>
              <w:t>16 Sep 2026: 204</w:t>
            </w:r>
          </w:p>
        </w:tc>
        <w:tc>
          <w:tcPr>
            <w:tcW w:type="dxa" w:w="3120"/>
            <w:vAlign w:val="top"/>
          </w:tcPr>
          <w:p>
            <w:r>
              <w:rPr>
                <w:rFonts w:ascii="Times New Roman" w:hAnsi="Times New Roman" w:eastAsia="Times New Roman"/>
                <w:b w:val="0"/>
                <w:sz w:val="14"/>
              </w:rPr>
              <w:t>Manual export recorded. The v1 TITLE-ABS-KEY string is retained in the run sheet.</w:t>
            </w:r>
          </w:p>
        </w:tc>
      </w:tr>
      <w:tr>
        <w:tc>
          <w:tcPr>
            <w:tcW w:type="dxa" w:w="3120"/>
            <w:vAlign w:val="top"/>
          </w:tcPr>
          <w:p>
            <w:r>
              <w:rPr>
                <w:rFonts w:ascii="Times New Roman" w:hAnsi="Times New Roman" w:eastAsia="Times New Roman"/>
                <w:b w:val="0"/>
                <w:sz w:val="14"/>
              </w:rPr>
              <w:t>ScienceDirect</w:t>
            </w:r>
          </w:p>
        </w:tc>
        <w:tc>
          <w:tcPr>
            <w:tcW w:type="dxa" w:w="3120"/>
            <w:vAlign w:val="top"/>
          </w:tcPr>
          <w:p>
            <w:r>
              <w:rPr>
                <w:rFonts w:ascii="Times New Roman" w:hAnsi="Times New Roman" w:eastAsia="Times New Roman"/>
                <w:b w:val="0"/>
                <w:sz w:val="14"/>
              </w:rPr>
              <w:t>16 Sep 2026: 25 displayed/exported</w:t>
            </w:r>
          </w:p>
        </w:tc>
        <w:tc>
          <w:tcPr>
            <w:tcW w:type="dxa" w:w="3120"/>
            <w:vAlign w:val="top"/>
          </w:tcPr>
          <w:p>
            <w:r>
              <w:rPr>
                <w:rFonts w:ascii="Times New Roman" w:hAnsi="Times New Roman" w:eastAsia="Times New Roman"/>
                <w:b w:val="0"/>
                <w:sz w:val="14"/>
              </w:rPr>
              <w:t>Manual, capped result layer. The record is an adapted single-line query; no unsupported full as-run string is supplied here.</w:t>
            </w:r>
          </w:p>
        </w:tc>
      </w:tr>
      <w:tr>
        <w:tc>
          <w:tcPr>
            <w:tcW w:type="dxa" w:w="3120"/>
            <w:vAlign w:val="top"/>
          </w:tcPr>
          <w:p>
            <w:r>
              <w:rPr>
                <w:rFonts w:ascii="Times New Roman" w:hAnsi="Times New Roman" w:eastAsia="Times New Roman"/>
                <w:b w:val="0"/>
                <w:sz w:val="14"/>
              </w:rPr>
              <w:t>WoS Starter API</w:t>
            </w:r>
          </w:p>
        </w:tc>
        <w:tc>
          <w:tcPr>
            <w:tcW w:type="dxa" w:w="3120"/>
            <w:vAlign w:val="top"/>
          </w:tcPr>
          <w:p>
            <w:r>
              <w:rPr>
                <w:rFonts w:ascii="Times New Roman" w:hAnsi="Times New Roman" w:eastAsia="Times New Roman"/>
                <w:b w:val="0"/>
                <w:sz w:val="14"/>
              </w:rPr>
              <w:t>19 Sep 2026: 175 UIDs</w:t>
            </w:r>
          </w:p>
        </w:tc>
        <w:tc>
          <w:tcPr>
            <w:tcW w:type="dxa" w:w="3120"/>
            <w:vAlign w:val="top"/>
          </w:tcPr>
          <w:p>
            <w:r>
              <w:rPr>
                <w:rFonts w:ascii="Times New Roman" w:hAnsi="Times New Roman" w:eastAsia="Times New Roman"/>
                <w:b w:val="0"/>
                <w:sz w:val="14"/>
              </w:rPr>
              <w:t>Four JSON pages (50/50/50/25), all HTTP 200; no English filter recorded. This is the imported WoS layer.</w:t>
            </w:r>
          </w:p>
        </w:tc>
      </w:tr>
      <w:tr>
        <w:tc>
          <w:tcPr>
            <w:tcW w:type="dxa" w:w="3120"/>
            <w:vAlign w:val="top"/>
          </w:tcPr>
          <w:p>
            <w:r>
              <w:rPr>
                <w:rFonts w:ascii="Times New Roman" w:hAnsi="Times New Roman" w:eastAsia="Times New Roman"/>
                <w:b w:val="0"/>
                <w:sz w:val="14"/>
              </w:rPr>
              <w:t>WoS Core Collection browser</w:t>
            </w:r>
          </w:p>
        </w:tc>
        <w:tc>
          <w:tcPr>
            <w:tcW w:type="dxa" w:w="3120"/>
            <w:vAlign w:val="top"/>
          </w:tcPr>
          <w:p>
            <w:r>
              <w:rPr>
                <w:rFonts w:ascii="Times New Roman" w:hAnsi="Times New Roman" w:eastAsia="Times New Roman"/>
                <w:b w:val="0"/>
                <w:sz w:val="14"/>
              </w:rPr>
              <w:t>20 Sep 2026: 206 base; 77 molecular; 154 epidemiology; 70 wild-bird/host</w:t>
            </w:r>
          </w:p>
        </w:tc>
        <w:tc>
          <w:tcPr>
            <w:tcW w:type="dxa" w:w="3120"/>
            <w:vAlign w:val="top"/>
          </w:tcPr>
          <w:p>
            <w:r>
              <w:rPr>
                <w:rFonts w:ascii="Times New Roman" w:hAnsi="Times New Roman" w:eastAsia="Times New Roman"/>
                <w:b w:val="0"/>
                <w:sz w:val="14"/>
              </w:rPr>
              <w:t>Displayed counts only, with no reliable full record-level export. Facets overlap and are not PRISMA records.</w:t>
            </w:r>
          </w:p>
        </w:tc>
      </w:tr>
      <w:tr>
        <w:tc>
          <w:tcPr>
            <w:tcW w:type="dxa" w:w="3120"/>
            <w:vAlign w:val="top"/>
          </w:tcPr>
          <w:p>
            <w:r>
              <w:rPr>
                <w:rFonts w:ascii="Times New Roman" w:hAnsi="Times New Roman" w:eastAsia="Times New Roman"/>
                <w:b w:val="0"/>
                <w:sz w:val="14"/>
              </w:rPr>
              <w:t>Google Scholar supplement</w:t>
            </w:r>
          </w:p>
        </w:tc>
        <w:tc>
          <w:tcPr>
            <w:tcW w:type="dxa" w:w="3120"/>
            <w:vAlign w:val="top"/>
          </w:tcPr>
          <w:p>
            <w:r>
              <w:rPr>
                <w:rFonts w:ascii="Times New Roman" w:hAnsi="Times New Roman" w:eastAsia="Times New Roman"/>
                <w:b w:val="0"/>
                <w:sz w:val="14"/>
              </w:rPr>
              <w:t>17 Sep 2026: 140 retrieved; 99 cross-query unique</w:t>
            </w:r>
          </w:p>
        </w:tc>
        <w:tc>
          <w:tcPr>
            <w:tcW w:type="dxa" w:w="3120"/>
            <w:vAlign w:val="top"/>
          </w:tcPr>
          <w:p>
            <w:r>
              <w:rPr>
                <w:rFonts w:ascii="Times New Roman" w:hAnsi="Times New Roman" w:eastAsia="Times New Roman"/>
                <w:b w:val="0"/>
                <w:sz w:val="14"/>
              </w:rPr>
              <w:t>Relevance-ranked, cap 200/query; no persistent export. Supplementary and excluded from the primary PRISMA snapshot.</w:t>
            </w:r>
          </w:p>
        </w:tc>
      </w:tr>
      <w:tr>
        <w:tc>
          <w:tcPr>
            <w:tcW w:type="dxa" w:w="3120"/>
            <w:vAlign w:val="top"/>
          </w:tcPr>
          <w:p>
            <w:r>
              <w:rPr>
                <w:rFonts w:ascii="Times New Roman" w:hAnsi="Times New Roman" w:eastAsia="Times New Roman"/>
                <w:b w:val="0"/>
                <w:sz w:val="14"/>
              </w:rPr>
              <w:t>AJOL on-site</w:t>
            </w:r>
          </w:p>
        </w:tc>
        <w:tc>
          <w:tcPr>
            <w:tcW w:type="dxa" w:w="3120"/>
            <w:vAlign w:val="top"/>
          </w:tcPr>
          <w:p>
            <w:r>
              <w:rPr>
                <w:rFonts w:ascii="Times New Roman" w:hAnsi="Times New Roman" w:eastAsia="Times New Roman"/>
                <w:b w:val="0"/>
                <w:sz w:val="14"/>
              </w:rPr>
              <w:t>20 Sep 2026: 144 query rows; 79 unique pages; 73 in-window</w:t>
            </w:r>
          </w:p>
        </w:tc>
        <w:tc>
          <w:tcPr>
            <w:tcW w:type="dxa" w:w="3120"/>
            <w:vAlign w:val="top"/>
          </w:tcPr>
          <w:p>
            <w:r>
              <w:rPr>
                <w:rFonts w:ascii="Times New Roman" w:hAnsi="Times New Roman" w:eastAsia="Times New Roman"/>
                <w:b w:val="0"/>
                <w:sz w:val="14"/>
              </w:rPr>
              <w:t>Nine exact queries; captured metadata and query lineage are retained. No substantive screening decision was made from this source layer.</w:t>
            </w:r>
          </w:p>
        </w:tc>
      </w:tr>
      <w:tr>
        <w:tc>
          <w:tcPr>
            <w:tcW w:type="dxa" w:w="3120"/>
            <w:vAlign w:val="top"/>
          </w:tcPr>
          <w:p>
            <w:r>
              <w:rPr>
                <w:rFonts w:ascii="Times New Roman" w:hAnsi="Times New Roman" w:eastAsia="Times New Roman"/>
                <w:b w:val="0"/>
                <w:sz w:val="14"/>
              </w:rPr>
              <w:t>OpenAlex/Crossref supplements</w:t>
            </w:r>
          </w:p>
        </w:tc>
        <w:tc>
          <w:tcPr>
            <w:tcW w:type="dxa" w:w="3120"/>
            <w:vAlign w:val="top"/>
          </w:tcPr>
          <w:p>
            <w:r>
              <w:rPr>
                <w:rFonts w:ascii="Times New Roman" w:hAnsi="Times New Roman" w:eastAsia="Times New Roman"/>
                <w:b w:val="0"/>
                <w:sz w:val="14"/>
              </w:rPr>
              <w:t>16 Sep 2026: 1,000 exported from each raw supplement</w:t>
            </w:r>
          </w:p>
        </w:tc>
        <w:tc>
          <w:tcPr>
            <w:tcW w:type="dxa" w:w="3120"/>
            <w:vAlign w:val="top"/>
          </w:tcPr>
          <w:p>
            <w:r>
              <w:rPr>
                <w:rFonts w:ascii="Times New Roman" w:hAnsi="Times New Roman" w:eastAsia="Times New Roman"/>
                <w:b w:val="0"/>
                <w:sz w:val="14"/>
              </w:rPr>
              <w:t>Supplementary discovery layers. Their rows were reconciled in the canonical register, not treated as final included studies.</w:t>
            </w:r>
          </w:p>
        </w:tc>
      </w:tr>
    </w:tbl>
    <w:p>
      <w:pPr>
        <w:pStyle w:val="Heading2"/>
      </w:pPr>
      <w:r>
        <w:t>B6. Calibration and Batch R1-B1 screening status</w:t>
      </w:r>
    </w:p>
    <w:p>
      <w:r>
        <w:rPr>
          <w:rFonts w:ascii="Times New Roman" w:hAnsi="Times New Roman" w:eastAsia="Times New Roman"/>
          <w:b w:val="0"/>
          <w:sz w:val="20"/>
        </w:rPr>
        <w:t>The controlled reconciliation register selected 40 canonical records by deterministic title-keyword strata. R1 and R2 independently screened title/metadata without shared votes, and all pilot dispositions were adjudicated. The pilot yielded 25 clear exclusions and 15 provisional full-text candidates; the latter comprise 11 clear title-level retains and 4 records retained under the conservative uncertainty rule. Batch R1-B1 then comprised the first 100 non-pilot canonical records by canonical_id order, CAN-0015 through CAN-0134 with pilot IDs omitted. R1 and R2 independently screened all 100 using the title/metadata criteria, with exact agreement (100/100) and no adjudication disagreements: 17 Include-for-full-text, 10 Unsure/retain-for-full-text and 73 Exclude.</w:t>
      </w:r>
    </w:p>
    <w:tbl>
      <w:tblPr>
        <w:tblW w:type="auto" w:w="0"/>
        <w:tblLayout w:type="autofit"/>
        <w:tblLook w:firstColumn="1" w:firstRow="1" w:lastColumn="0" w:lastRow="0" w:noHBand="0" w:noVBand="1" w:val="04A0"/>
      </w:tblPr>
      <w:tblGrid>
        <w:gridCol w:w="3120"/>
        <w:gridCol w:w="3120"/>
        <w:gridCol w:w="3120"/>
      </w:tblGrid>
      <w:tr>
        <w:tc>
          <w:tcPr>
            <w:tcW w:type="dxa" w:w="3120"/>
            <w:vAlign w:val="center"/>
            <w:shd w:fill="D9EAD3"/>
          </w:tcPr>
          <w:p>
            <w:r>
              <w:rPr>
                <w:rFonts w:ascii="Times New Roman" w:hAnsi="Times New Roman" w:eastAsia="Times New Roman"/>
                <w:b/>
                <w:sz w:val="16"/>
              </w:rPr>
              <w:t>Adjudicated title/metadata screening outcome</w:t>
            </w:r>
          </w:p>
        </w:tc>
        <w:tc>
          <w:tcPr>
            <w:tcW w:type="dxa" w:w="3120"/>
            <w:vAlign w:val="center"/>
            <w:shd w:fill="D9EAD3"/>
          </w:tcPr>
          <w:p>
            <w:r>
              <w:rPr>
                <w:rFonts w:ascii="Times New Roman" w:hAnsi="Times New Roman" w:eastAsia="Times New Roman"/>
                <w:b/>
                <w:sz w:val="16"/>
              </w:rPr>
              <w:t>Count</w:t>
            </w:r>
          </w:p>
        </w:tc>
        <w:tc>
          <w:tcPr>
            <w:tcW w:type="dxa" w:w="3120"/>
            <w:vAlign w:val="center"/>
            <w:shd w:fill="D9EAD3"/>
          </w:tcPr>
          <w:p>
            <w:r>
              <w:rPr>
                <w:rFonts w:ascii="Times New Roman" w:hAnsi="Times New Roman" w:eastAsia="Times New Roman"/>
                <w:b/>
                <w:sz w:val="16"/>
              </w:rPr>
              <w:t>Canonical IDs / decision-reason-code status</w:t>
            </w:r>
          </w:p>
        </w:tc>
      </w:tr>
      <w:tr>
        <w:tc>
          <w:tcPr>
            <w:tcW w:type="dxa" w:w="3120"/>
            <w:vAlign w:val="top"/>
          </w:tcPr>
          <w:p>
            <w:r>
              <w:rPr>
                <w:rFonts w:ascii="Times New Roman" w:hAnsi="Times New Roman" w:eastAsia="Times New Roman"/>
                <w:b w:val="0"/>
                <w:sz w:val="16"/>
              </w:rPr>
              <w:t>Clear exclusions</w:t>
            </w:r>
          </w:p>
        </w:tc>
        <w:tc>
          <w:tcPr>
            <w:tcW w:type="dxa" w:w="3120"/>
            <w:vAlign w:val="top"/>
          </w:tcPr>
          <w:p>
            <w:r>
              <w:rPr>
                <w:rFonts w:ascii="Times New Roman" w:hAnsi="Times New Roman" w:eastAsia="Times New Roman"/>
                <w:b w:val="0"/>
                <w:sz w:val="16"/>
              </w:rPr>
              <w:t>25</w:t>
            </w:r>
          </w:p>
        </w:tc>
        <w:tc>
          <w:tcPr>
            <w:tcW w:type="dxa" w:w="3120"/>
            <w:vAlign w:val="top"/>
          </w:tcPr>
          <w:p>
            <w:r>
              <w:rPr>
                <w:rFonts w:ascii="Times New Roman" w:hAnsi="Times New Roman" w:eastAsia="Times New Roman"/>
                <w:b w:val="0"/>
                <w:sz w:val="16"/>
              </w:rPr>
              <w:t>CAN-0001, CAN-0002, CAN-0004, CAN-0005, CAN-0009, CAN-0010, CAN-0011, CAN-0012, CAN-0013, CAN-0021, CAN-0028, CAN-0037, CAN-0038, CAN-0043, CAN-0050, CAN-0057, CAN-0078, CAN-0124, CAN-0128, CAN-0133, CAN-0148, CAN-0152, CAN-0153, CAN-0159, CAN-0183.</w:t>
            </w:r>
          </w:p>
        </w:tc>
      </w:tr>
      <w:tr>
        <w:tc>
          <w:tcPr>
            <w:tcW w:type="dxa" w:w="3120"/>
            <w:vAlign w:val="top"/>
          </w:tcPr>
          <w:p>
            <w:r>
              <w:rPr>
                <w:rFonts w:ascii="Times New Roman" w:hAnsi="Times New Roman" w:eastAsia="Times New Roman"/>
                <w:b w:val="0"/>
                <w:sz w:val="16"/>
              </w:rPr>
              <w:t>Retained provisionally for full text</w:t>
            </w:r>
          </w:p>
        </w:tc>
        <w:tc>
          <w:tcPr>
            <w:tcW w:type="dxa" w:w="3120"/>
            <w:vAlign w:val="top"/>
          </w:tcPr>
          <w:p>
            <w:r>
              <w:rPr>
                <w:rFonts w:ascii="Times New Roman" w:hAnsi="Times New Roman" w:eastAsia="Times New Roman"/>
                <w:b w:val="0"/>
                <w:sz w:val="16"/>
              </w:rPr>
              <w:t>15</w:t>
            </w:r>
          </w:p>
        </w:tc>
        <w:tc>
          <w:tcPr>
            <w:tcW w:type="dxa" w:w="3120"/>
            <w:vAlign w:val="top"/>
          </w:tcPr>
          <w:p>
            <w:r>
              <w:rPr>
                <w:rFonts w:ascii="Times New Roman" w:hAnsi="Times New Roman" w:eastAsia="Times New Roman"/>
                <w:b w:val="0"/>
                <w:sz w:val="16"/>
              </w:rPr>
              <w:t>CAN-0003, CAN-0006, CAN-0007, CAN-0008, CAN-0014, CAN-0017, CAN-0025, CAN-0026, CAN-0027, CAN-0031, CAN-0039, CAN-0049, CAN-0056, CAN-0129, CAN-0155. Not final included studies.</w:t>
            </w:r>
          </w:p>
        </w:tc>
      </w:tr>
      <w:tr>
        <w:tc>
          <w:tcPr>
            <w:tcW w:type="dxa" w:w="3120"/>
            <w:vAlign w:val="top"/>
          </w:tcPr>
          <w:p>
            <w:r>
              <w:rPr>
                <w:rFonts w:ascii="Times New Roman" w:hAnsi="Times New Roman" w:eastAsia="Times New Roman"/>
                <w:b w:val="0"/>
                <w:sz w:val="16"/>
              </w:rPr>
              <w:t>Clear title-level retains</w:t>
            </w:r>
          </w:p>
        </w:tc>
        <w:tc>
          <w:tcPr>
            <w:tcW w:type="dxa" w:w="3120"/>
            <w:vAlign w:val="top"/>
          </w:tcPr>
          <w:p>
            <w:r>
              <w:rPr>
                <w:rFonts w:ascii="Times New Roman" w:hAnsi="Times New Roman" w:eastAsia="Times New Roman"/>
                <w:b w:val="0"/>
                <w:sz w:val="16"/>
              </w:rPr>
              <w:t>11</w:t>
            </w:r>
          </w:p>
        </w:tc>
        <w:tc>
          <w:tcPr>
            <w:tcW w:type="dxa" w:w="3120"/>
            <w:vAlign w:val="top"/>
          </w:tcPr>
          <w:p>
            <w:r>
              <w:rPr>
                <w:rFonts w:ascii="Times New Roman" w:hAnsi="Times New Roman" w:eastAsia="Times New Roman"/>
                <w:b w:val="0"/>
                <w:sz w:val="16"/>
              </w:rPr>
              <w:t>Eligible-looking title/metadata; all remain provisional until full-text eligibility assessment.</w:t>
            </w:r>
          </w:p>
        </w:tc>
      </w:tr>
      <w:tr>
        <w:tc>
          <w:tcPr>
            <w:tcW w:type="dxa" w:w="3120"/>
            <w:vAlign w:val="top"/>
          </w:tcPr>
          <w:p>
            <w:r>
              <w:rPr>
                <w:rFonts w:ascii="Times New Roman" w:hAnsi="Times New Roman" w:eastAsia="Times New Roman"/>
                <w:b w:val="0"/>
                <w:sz w:val="16"/>
              </w:rPr>
              <w:t>Retained under uncertainty</w:t>
            </w:r>
          </w:p>
        </w:tc>
        <w:tc>
          <w:tcPr>
            <w:tcW w:type="dxa" w:w="3120"/>
            <w:vAlign w:val="top"/>
          </w:tcPr>
          <w:p>
            <w:r>
              <w:rPr>
                <w:rFonts w:ascii="Times New Roman" w:hAnsi="Times New Roman" w:eastAsia="Times New Roman"/>
                <w:b w:val="0"/>
                <w:sz w:val="16"/>
              </w:rPr>
              <w:t>4</w:t>
            </w:r>
          </w:p>
        </w:tc>
        <w:tc>
          <w:tcPr>
            <w:tcW w:type="dxa" w:w="3120"/>
            <w:vAlign w:val="top"/>
          </w:tcPr>
          <w:p>
            <w:r>
              <w:rPr>
                <w:rFonts w:ascii="Times New Roman" w:hAnsi="Times New Roman" w:eastAsia="Times New Roman"/>
                <w:b w:val="0"/>
                <w:sz w:val="16"/>
              </w:rPr>
              <w:t>Conservative rule applied; includes adjudicated CAN-0031 and CAN-0049. All remain provisional until full-text eligibility assessment.</w:t>
            </w:r>
          </w:p>
        </w:tc>
      </w:tr>
      <w:tr>
        <w:tc>
          <w:tcPr>
            <w:tcW w:type="dxa" w:w="3120"/>
          </w:tcPr>
          <w:p>
            <w:r>
              <w:t>Batch R1-B1: Include-for-full-text</w:t>
            </w:r>
          </w:p>
        </w:tc>
        <w:tc>
          <w:tcPr>
            <w:tcW w:type="dxa" w:w="3120"/>
          </w:tcPr>
          <w:p>
            <w:r>
              <w:t>17</w:t>
            </w:r>
          </w:p>
        </w:tc>
        <w:tc>
          <w:tcPr>
            <w:tcW w:type="dxa" w:w="3120"/>
          </w:tcPr>
          <w:p>
            <w:r>
              <w:t>Decision/reason-code category: Include. Provisional full-text candidates; not final included studies.</w:t>
            </w:r>
          </w:p>
        </w:tc>
      </w:tr>
      <w:tr>
        <w:tc>
          <w:tcPr>
            <w:tcW w:type="dxa" w:w="3120"/>
          </w:tcPr>
          <w:p>
            <w:r>
              <w:t>Batch R1-B1: Unsure/retain-for-full-text</w:t>
            </w:r>
          </w:p>
        </w:tc>
        <w:tc>
          <w:tcPr>
            <w:tcW w:type="dxa" w:w="3120"/>
          </w:tcPr>
          <w:p>
            <w:r>
              <w:t>10</w:t>
            </w:r>
          </w:p>
        </w:tc>
        <w:tc>
          <w:tcPr>
            <w:tcW w:type="dxa" w:w="3120"/>
          </w:tcPr>
          <w:p>
            <w:r>
              <w:t>Decision/reason-code category: Unsure. Retained under the conservative uncertainty rule; not final included studies.</w:t>
            </w:r>
          </w:p>
        </w:tc>
      </w:tr>
      <w:tr>
        <w:tc>
          <w:tcPr>
            <w:tcW w:type="dxa" w:w="3120"/>
          </w:tcPr>
          <w:p>
            <w:r>
              <w:t>Batch R1-B1: Exclude</w:t>
            </w:r>
          </w:p>
        </w:tc>
        <w:tc>
          <w:tcPr>
            <w:tcW w:type="dxa" w:w="3120"/>
          </w:tcPr>
          <w:p>
            <w:r>
              <w:t>73</w:t>
            </w:r>
          </w:p>
        </w:tc>
        <w:tc>
          <w:tcPr>
            <w:tcW w:type="dxa" w:w="3120"/>
          </w:tcPr>
          <w:p>
            <w:r>
              <w:t>Decision/reason-code category: Exclude. Clear title/metadata exclusions.</w:t>
            </w:r>
          </w:p>
        </w:tc>
      </w:tr>
      <w:tr>
        <w:tc>
          <w:tcPr>
            <w:tcW w:type="dxa" w:w="3120"/>
          </w:tcPr>
          <w:p>
            <w:r>
              <w:t>Batch R1-B1: exact R1/R2 agreement</w:t>
            </w:r>
          </w:p>
        </w:tc>
        <w:tc>
          <w:tcPr>
            <w:tcW w:type="dxa" w:w="3120"/>
          </w:tcPr>
          <w:p>
            <w:r>
              <w:t>100/100</w:t>
            </w:r>
          </w:p>
        </w:tc>
        <w:tc>
          <w:tcPr>
            <w:tcW w:type="dxa" w:w="3120"/>
          </w:tcPr>
          <w:p>
            <w:r>
              <w:t>First 100 non-pilot canonical records by canonical_id order, CAN-0015 through CAN-0134 with pilot IDs omitted. No adjudication disagreements.</w:t>
            </w:r>
          </w:p>
        </w:tc>
      </w:tr>
      <w:tr>
        <w:tc>
          <w:tcPr>
            <w:tcW w:type="dxa" w:w="3120"/>
          </w:tcPr>
          <w:p>
            <w:r>
              <w:t>Batch R1-B1: retained provisionally for full text</w:t>
            </w:r>
          </w:p>
        </w:tc>
        <w:tc>
          <w:tcPr>
            <w:tcW w:type="dxa" w:w="3120"/>
          </w:tcPr>
          <w:p>
            <w:r>
              <w:t>27</w:t>
            </w:r>
          </w:p>
        </w:tc>
        <w:tc>
          <w:tcPr>
            <w:tcW w:type="dxa" w:w="3120"/>
          </w:tcPr>
          <w:p>
            <w:r>
              <w:t>CAN-0015, CAN-0032, CAN-0033, CAN-0040, CAN-0045, CAN-0046, CAN-0048, CAN-0051, CAN-0052, CAN-0053, CAN-0055, CAN-0058, CAN-0059, CAN-0061, CAN-0063, CAN-0064, CAN-0065, CAN-0066, CAN-0070, CAN-0071, CAN-0080, CAN-0086, CAN-0087, CAN-0089, CAN-0114, CAN-0122, CAN-0132. Not final included studies.</w:t>
            </w:r>
          </w:p>
        </w:tc>
      </w:tr>
      <w:tr>
        <w:tc>
          <w:tcPr>
            <w:tcW w:type="dxa" w:w="3120"/>
          </w:tcPr>
          <w:p>
            <w:r>
              <w:t>Cumulative through pilot + Batch R1-B1: clear exclusions</w:t>
            </w:r>
          </w:p>
        </w:tc>
        <w:tc>
          <w:tcPr>
            <w:tcW w:type="dxa" w:w="3120"/>
          </w:tcPr>
          <w:p>
            <w:r>
              <w:t>98</w:t>
            </w:r>
          </w:p>
        </w:tc>
        <w:tc>
          <w:tcPr>
            <w:tcW w:type="dxa" w:w="3120"/>
          </w:tcPr>
          <w:p>
            <w:r>
              <w:t>Title/metadata only; interim milestone, not a final PRISMA exclusion count.</w:t>
            </w:r>
          </w:p>
        </w:tc>
      </w:tr>
      <w:tr>
        <w:tc>
          <w:tcPr>
            <w:tcW w:type="dxa" w:w="3120"/>
          </w:tcPr>
          <w:p>
            <w:r>
              <w:t>Cumulative through pilot + Batch R1-B1: provisional full-text candidates</w:t>
            </w:r>
          </w:p>
        </w:tc>
        <w:tc>
          <w:tcPr>
            <w:tcW w:type="dxa" w:w="3120"/>
          </w:tcPr>
          <w:p>
            <w:r>
              <w:t>42</w:t>
            </w:r>
          </w:p>
        </w:tc>
        <w:tc>
          <w:tcPr>
            <w:tcW w:type="dxa" w:w="3120"/>
          </w:tcPr>
          <w:p>
            <w:r>
              <w:t>All retained records remained provisional pending full-text assessment, extraction, risk-of-bias appraisal, certainty assessment and synthesis.</w:t>
            </w:r>
          </w:p>
        </w:tc>
      </w:tr>
      <w:tr>
        <w:tc>
          <w:tcPr>
            <w:tcW w:type="dxa" w:w="3120"/>
          </w:tcPr>
          <w:p>
            <w:r>
              <w:t>Batch B2: scope</w:t>
            </w:r>
          </w:p>
        </w:tc>
        <w:tc>
          <w:tcPr>
            <w:tcW w:type="dxa" w:w="3120"/>
          </w:tcPr>
          <w:p>
            <w:r>
              <w:t>100</w:t>
            </w:r>
          </w:p>
        </w:tc>
        <w:tc>
          <w:tcPr>
            <w:tcW w:type="dxa" w:w="3120"/>
          </w:tcPr>
          <w:p>
            <w:r>
              <w:t>Next 100 non-pilot canonical records after B1: CAN-0135-CAN-0240, with pilot IDs omitted. Title/metadata screening only.</w:t>
            </w:r>
          </w:p>
        </w:tc>
      </w:tr>
      <w:tr>
        <w:tc>
          <w:tcPr>
            <w:tcW w:type="dxa" w:w="3120"/>
          </w:tcPr>
          <w:p>
            <w:r>
              <w:t>Batch B2: R1 disposition</w:t>
            </w:r>
          </w:p>
        </w:tc>
        <w:tc>
          <w:tcPr>
            <w:tcW w:type="dxa" w:w="3120"/>
          </w:tcPr>
          <w:p>
            <w:r>
              <w:t>20 retained; 80 excluded</w:t>
            </w:r>
          </w:p>
        </w:tc>
        <w:tc>
          <w:tcPr>
            <w:tcW w:type="dxa" w:w="3120"/>
          </w:tcPr>
          <w:p>
            <w:r>
              <w:t>10 Include-for-full-text; 10 Unsure/retain-for-full-text. Independent R1 title/metadata screen.</w:t>
            </w:r>
          </w:p>
        </w:tc>
      </w:tr>
      <w:tr>
        <w:tc>
          <w:tcPr>
            <w:tcW w:type="dxa" w:w="3120"/>
          </w:tcPr>
          <w:p>
            <w:r>
              <w:t>Batch B2: R2 disposition</w:t>
            </w:r>
          </w:p>
        </w:tc>
        <w:tc>
          <w:tcPr>
            <w:tcW w:type="dxa" w:w="3120"/>
          </w:tcPr>
          <w:p>
            <w:r>
              <w:t>17 retained; 83 excluded</w:t>
            </w:r>
          </w:p>
        </w:tc>
        <w:tc>
          <w:tcPr>
            <w:tcW w:type="dxa" w:w="3120"/>
          </w:tcPr>
          <w:p>
            <w:r>
              <w:t>Aggregate R2 disposition. Independent R2 title/metadata screen.</w:t>
            </w:r>
          </w:p>
        </w:tc>
      </w:tr>
      <w:tr>
        <w:tc>
          <w:tcPr>
            <w:tcW w:type="dxa" w:w="3120"/>
          </w:tcPr>
          <w:p>
            <w:r>
              <w:t>Batch B2: disagreements and adjudication</w:t>
            </w:r>
          </w:p>
        </w:tc>
        <w:tc>
          <w:tcPr>
            <w:tcW w:type="dxa" w:w="3120"/>
          </w:tcPr>
          <w:p>
            <w:r>
              <w:t>8</w:t>
            </w:r>
          </w:p>
        </w:tc>
        <w:tc>
          <w:tcPr>
            <w:tcW w:type="dxa" w:w="3120"/>
          </w:tcPr>
          <w:p>
            <w:r>
              <w:t>CAN-0151, CAN-0154, CAN-0156, CAN-0189, CAN-0210, CAN-0215, CAN-0232 and CAN-0234. Apply the frozen criteria and conservative uncertainty rule; no final study inclusion is inferred.</w:t>
            </w:r>
          </w:p>
        </w:tc>
      </w:tr>
      <w:tr>
        <w:tc>
          <w:tcPr>
            <w:tcW w:type="dxa" w:w="3120"/>
          </w:tcPr>
          <w:p>
            <w:r>
              <w:t>Batch B2: final retained provisionally for full text</w:t>
            </w:r>
          </w:p>
        </w:tc>
        <w:tc>
          <w:tcPr>
            <w:tcW w:type="dxa" w:w="3120"/>
          </w:tcPr>
          <w:p>
            <w:r>
              <w:t>17</w:t>
            </w:r>
          </w:p>
        </w:tc>
        <w:tc>
          <w:tcPr>
            <w:tcW w:type="dxa" w:w="3120"/>
          </w:tcPr>
          <w:p>
            <w:r>
              <w:t>The 14 unchanged R1 retained IDs plus CAN-0189, CAN-0215 and CAN-0232. All 17 are provisional full-text candidates, not final included studies.</w:t>
            </w:r>
          </w:p>
        </w:tc>
      </w:tr>
      <w:tr>
        <w:tc>
          <w:tcPr>
            <w:tcW w:type="dxa" w:w="3120"/>
          </w:tcPr>
          <w:p>
            <w:r>
              <w:t>Batch B2: final exclusions</w:t>
            </w:r>
          </w:p>
        </w:tc>
        <w:tc>
          <w:tcPr>
            <w:tcW w:type="dxa" w:w="3120"/>
          </w:tcPr>
          <w:p>
            <w:r>
              <w:t>83</w:t>
            </w:r>
          </w:p>
        </w:tc>
        <w:tc>
          <w:tcPr>
            <w:tcW w:type="dxa" w:w="3120"/>
          </w:tcPr>
          <w:p>
            <w:r>
              <w:t>Includes clear global/non-Nigeria CAN-0151, CAN-0154 and CAN-0156, and R2-only CAN-0210 and CAN-0234. CAN-0210 and CAN-0234 lacked title-level evidence of eligible avian-AIV empirical data under the frozen criteria.</w:t>
            </w:r>
          </w:p>
        </w:tc>
      </w:tr>
      <w:tr>
        <w:tc>
          <w:tcPr>
            <w:tcW w:type="dxa" w:w="3120"/>
          </w:tcPr>
          <w:p>
            <w:r>
              <w:t>Cumulative pilot + Batch R1-B1 + Batch B2: clear exclusions</w:t>
            </w:r>
          </w:p>
        </w:tc>
        <w:tc>
          <w:tcPr>
            <w:tcW w:type="dxa" w:w="3120"/>
          </w:tcPr>
          <w:p>
            <w:r>
              <w:t>181</w:t>
            </w:r>
          </w:p>
        </w:tc>
        <w:tc>
          <w:tcPr>
            <w:tcW w:type="dxa" w:w="3120"/>
          </w:tcPr>
          <w:p>
            <w:r>
              <w:t>Title/metadata screening only; not a final PRISMA exclusion count.</w:t>
            </w:r>
          </w:p>
        </w:tc>
      </w:tr>
      <w:tr>
        <w:tc>
          <w:tcPr>
            <w:tcW w:type="dxa" w:w="3120"/>
          </w:tcPr>
          <w:p>
            <w:r>
              <w:t>Cumulative pilot + Batch R1-B1 + Batch B2: provisional full-text candidates</w:t>
            </w:r>
          </w:p>
        </w:tc>
        <w:tc>
          <w:tcPr>
            <w:tcW w:type="dxa" w:w="3120"/>
          </w:tcPr>
          <w:p>
            <w:r>
              <w:t>59</w:t>
            </w:r>
          </w:p>
        </w:tc>
        <w:tc>
          <w:tcPr>
            <w:tcW w:type="dxa" w:w="3120"/>
          </w:tcPr>
          <w:p>
            <w:r>
              <w:t>All retained records await full-text eligibility assessment. Not final included studies; extraction, RoB, certainty, final PRISMA and SWiM synthesis remain pending.</w:t>
            </w:r>
          </w:p>
        </w:tc>
      </w:tr>
      <w:tr>
        <w:tc>
          <w:tcPr>
            <w:tcW w:type="dxa" w:w="3120"/>
          </w:tcPr>
          <w:tcPr/>
          <w:p>
            <w:r>
              <w:t>Batch B3: scope and independent dispositions</w:t>
            </w:r>
          </w:p>
        </w:tc>
        <w:tc>
          <w:tcPr>
            <w:tcW w:type="dxa" w:w="3120"/>
          </w:tcPr>
          <w:tcPr/>
          <w:p>
            <w:r>
              <w:t>100</w:t>
            </w:r>
          </w:p>
        </w:tc>
        <w:tc>
          <w:tcPr>
            <w:tcW w:type="dxa" w:w="3120"/>
          </w:tcPr>
          <w:tcPr/>
          <w:p>
            <w:r>
              <w:t>CAN-0241-CAN-0340. R1: 7 Include-for-full-text + 5 Unsure/retain-for-full-text; 88 Exclude. R2: 7 Retain + 1 Unsure; 92 Exclude.</w:t>
            </w:r>
          </w:p>
        </w:tc>
      </w:tr>
      <w:tr>
        <w:tc>
          <w:tcPr>
            <w:tcW w:type="dxa" w:w="3120"/>
          </w:tcPr>
          <w:tcPr/>
          <w:p>
            <w:r>
              <w:t>Batch B3: cross-reviewer uncertainty/disagreement and adjudication</w:t>
            </w:r>
          </w:p>
        </w:tc>
        <w:tc>
          <w:tcPr>
            <w:tcW w:type="dxa" w:w="3120"/>
          </w:tcPr>
          <w:tcPr/>
          <w:p>
            <w:r>
              <w:t>6</w:t>
            </w:r>
          </w:p>
        </w:tc>
        <w:tc>
          <w:tcPr>
            <w:tcW w:type="dxa" w:w="3120"/>
          </w:tcPr>
          <w:tcPr/>
          <w:p>
            <w:r>
              <w:t>CAN-0245, CAN-0258, CAN-0266, CAN-0282, CAN-0317 and CAN-0340. Conservative rule: retain all six for full-text review; no final study inclusion is inferred.</w:t>
            </w:r>
          </w:p>
        </w:tc>
      </w:tr>
      <w:tr>
        <w:tc>
          <w:tcPr>
            <w:tcW w:type="dxa" w:w="3120"/>
          </w:tcPr>
          <w:tcPr/>
          <w:p>
            <w:r>
              <w:t>Batch B3: final disposition</w:t>
            </w:r>
          </w:p>
        </w:tc>
        <w:tc>
          <w:tcPr>
            <w:tcW w:type="dxa" w:w="3120"/>
          </w:tcPr>
          <w:tcPr/>
          <w:p>
            <w:r>
              <w:t>13 retained; 87 excluded</w:t>
            </w:r>
          </w:p>
        </w:tc>
        <w:tc>
          <w:tcPr>
            <w:tcW w:type="dxa" w:w="3120"/>
          </w:tcPr>
          <w:tcPr/>
          <w:p>
            <w:r>
              <w:t>The seven clear R1/R2 retains remained retained, with the six uncertainty/disagreement records. All 13 are provisional full-text candidates, not final included studies.</w:t>
            </w:r>
          </w:p>
        </w:tc>
      </w:tr>
      <w:tr>
        <w:tc>
          <w:tcPr>
            <w:tcW w:type="dxa" w:w="3120"/>
          </w:tcPr>
          <w:tcPr/>
          <w:p>
            <w:r>
              <w:t>Batch B4: scope and final disposition</w:t>
            </w:r>
          </w:p>
        </w:tc>
        <w:tc>
          <w:tcPr>
            <w:tcW w:type="dxa" w:w="3120"/>
          </w:tcPr>
          <w:tcPr/>
          <w:p>
            <w:r>
              <w:t>100 records CAN-0381-CAN-0480; exact R1/R2 agreement (100/100)</w:t>
            </w:r>
          </w:p>
        </w:tc>
        <w:tc>
          <w:tcPr>
            <w:tcW w:type="dxa" w:w="3120"/>
          </w:tcPr>
          <w:tcPr/>
          <w:p>
            <w:r>
              <w:t>0 clear Include-for-full-text; 11 Unsure/retain-for-full-text, all retained provisionally for full text; 89 Exclude; no disagreements.</w:t>
            </w:r>
          </w:p>
        </w:tc>
      </w:tr>
      <w:tr>
        <w:tc>
          <w:tcPr>
            <w:tcW w:type="dxa" w:w="3120"/>
          </w:tcPr>
          <w:p>
            <w:r>
              <w:t>Cumulative pilot + Batch R1-B1 + Batch B2 + Batch B3 + Batch B4</w:t>
            </w:r>
          </w:p>
        </w:tc>
        <w:tc>
          <w:tcPr>
            <w:tcW w:type="dxa" w:w="3120"/>
          </w:tcPr>
          <w:p>
            <w:r>
              <w:t>440 screened; 357 excluded; 83 provisional full-text candidates</w:t>
            </w:r>
          </w:p>
        </w:tc>
        <w:tc>
          <w:tcPr>
            <w:tcW w:type="dxa" w:w="3120"/>
          </w:tcPr>
          <w:p>
            <w:r>
              <w:t>Title/metadata screening only. The remaining 1,437 of 1,877 canonical identities are unresolved/non-final; full-text assessment, extraction, RoB, certainty, final PRISMA flow and SWiM remain pending.</w:t>
            </w:r>
          </w:p>
        </w:tc>
      </w:tr>
    </w:tbl>
    <w:p>
      <w:r>
        <w:rPr>
          <w:rFonts w:ascii="Times New Roman" w:hAnsi="Times New Roman" w:eastAsia="Times New Roman"/>
          <w:b w:val="0"/>
          <w:sz w:val="20"/>
        </w:rPr>
        <w:t>Pilot adjudication note: CAN-0031 (R1 Include; R2 Unsure) was retained for full text because its title identifies Nigeria H5N1 outbreak pathology and may contain eligible empirical data. CAN-0049 (R1 Unsure; R2 Exclude) was adjudicated Unsure and retained for full text under the protocol�s conservative rule. Batch R1-B1 had no adjudication disagreements. At that interim milestone, the adjudicated pilot and Batch R1-B1 comprised 140 title/metadata records: 98 clear exclusions and 42 provisional full-text candidates. All retained records are provisional full-text candidates, not final included studies; no final PRISMA count has been produced.</w:t>
      </w:r>
    </w:p>
    <w:p>
      <w:pPr>
        <w:pStyle w:val="Heading2"/>
      </w:pPr>
      <w:r>
        <w:t>B7. Extraction and risk-of-bias fields ready for the next pass</w:t>
      </w:r>
    </w:p>
    <w:tbl>
      <w:tblPr>
        <w:tblW w:type="auto" w:w="0"/>
        <w:tblLayout w:type="autofit"/>
        <w:tblLook w:firstColumn="1" w:firstRow="1" w:lastColumn="0" w:lastRow="0" w:noHBand="0" w:noVBand="1" w:val="04A0"/>
      </w:tblPr>
      <w:tblGrid>
        <w:gridCol w:w="3120"/>
        <w:gridCol w:w="3120"/>
        <w:gridCol w:w="3120"/>
      </w:tblGrid>
      <w:tr>
        <w:tc>
          <w:tcPr>
            <w:tcW w:type="dxa" w:w="3120"/>
            <w:vAlign w:val="center"/>
            <w:shd w:fill="D9EAD3"/>
          </w:tcPr>
          <w:p>
            <w:r>
              <w:rPr>
                <w:rFonts w:ascii="Times New Roman" w:hAnsi="Times New Roman" w:eastAsia="Times New Roman"/>
                <w:b/>
                <w:sz w:val="16"/>
              </w:rPr>
              <w:t>Stage</w:t>
            </w:r>
          </w:p>
        </w:tc>
        <w:tc>
          <w:tcPr>
            <w:tcW w:type="dxa" w:w="3120"/>
            <w:vAlign w:val="center"/>
            <w:shd w:fill="D9EAD3"/>
          </w:tcPr>
          <w:p>
            <w:r>
              <w:rPr>
                <w:rFonts w:ascii="Times New Roman" w:hAnsi="Times New Roman" w:eastAsia="Times New Roman"/>
                <w:b/>
                <w:sz w:val="16"/>
              </w:rPr>
              <w:t>Fields to complete after eligibility</w:t>
            </w:r>
          </w:p>
        </w:tc>
        <w:tc>
          <w:tcPr>
            <w:tcW w:type="dxa" w:w="3120"/>
            <w:vAlign w:val="center"/>
            <w:shd w:fill="D9EAD3"/>
          </w:tcPr>
          <w:p>
            <w:r>
              <w:rPr>
                <w:rFonts w:ascii="Times New Roman" w:hAnsi="Times New Roman" w:eastAsia="Times New Roman"/>
                <w:b/>
                <w:sz w:val="16"/>
              </w:rPr>
              <w:t>Status</w:t>
            </w:r>
          </w:p>
        </w:tc>
      </w:tr>
      <w:tr>
        <w:tc>
          <w:tcPr>
            <w:tcW w:type="dxa" w:w="3120"/>
            <w:vAlign w:val="top"/>
          </w:tcPr>
          <w:p>
            <w:r>
              <w:rPr>
                <w:rFonts w:ascii="Times New Roman" w:hAnsi="Times New Roman" w:eastAsia="Times New Roman"/>
                <w:b w:val="0"/>
                <w:sz w:val="16"/>
              </w:rPr>
              <w:t>Title/abstract log</w:t>
            </w:r>
          </w:p>
        </w:tc>
        <w:tc>
          <w:tcPr>
            <w:tcW w:type="dxa" w:w="3120"/>
            <w:vAlign w:val="top"/>
          </w:tcPr>
          <w:p>
            <w:r>
              <w:rPr>
                <w:rFonts w:ascii="Times New Roman" w:hAnsi="Times New Roman" w:eastAsia="Times New Roman"/>
                <w:b w:val="0"/>
                <w:sz w:val="16"/>
              </w:rPr>
              <w:t>Canonical ID; source lineage; reviewer and date; Nigeria link; avian laboratory confirmation; eligible evidence type; primary/extractable data; Include/Exclude/Unsure; one reason and note.</w:t>
            </w:r>
          </w:p>
        </w:tc>
        <w:tc>
          <w:tcPr>
            <w:tcW w:type="dxa" w:w="3120"/>
            <w:vAlign w:val="top"/>
          </w:tcPr>
          <w:p>
            <w:r>
              <w:t>Ready; 440 title/metadata records adjudicated, but no full-text eligibility decisions.</w:t>
            </w:r>
          </w:p>
        </w:tc>
      </w:tr>
      <w:tr>
        <w:tc>
          <w:tcPr>
            <w:tcW w:type="dxa" w:w="3120"/>
            <w:vAlign w:val="top"/>
          </w:tcPr>
          <w:p>
            <w:r>
              <w:rPr>
                <w:rFonts w:ascii="Times New Roman" w:hAnsi="Times New Roman" w:eastAsia="Times New Roman"/>
                <w:b w:val="0"/>
                <w:sz w:val="16"/>
              </w:rPr>
              <w:t>Full-text eligibility (T6)</w:t>
            </w:r>
          </w:p>
        </w:tc>
        <w:tc>
          <w:tcPr>
            <w:tcW w:type="dxa" w:w="3120"/>
            <w:vAlign w:val="top"/>
          </w:tcPr>
          <w:p>
            <w:r>
              <w:rPr>
                <w:rFonts w:ascii="Times New Roman" w:hAnsi="Times New Roman" w:eastAsia="Times New Roman"/>
                <w:b w:val="0"/>
                <w:sz w:val="16"/>
              </w:rPr>
              <w:t>Retrieval status; Nigeria-specific data; avian host; laboratory confirmation; evidence type; one fixed exclusion reason; duplicate-dataset link; page/section evidence.</w:t>
            </w:r>
          </w:p>
        </w:tc>
        <w:tc>
          <w:tcPr>
            <w:tcW w:type="dxa" w:w="3120"/>
            <w:vAlign w:val="top"/>
          </w:tcPr>
          <w:p>
            <w:r>
              <w:rPr>
                <w:rFonts w:ascii="Times New Roman" w:hAnsi="Times New Roman" w:eastAsia="Times New Roman"/>
                <w:b w:val="0"/>
                <w:sz w:val="16"/>
              </w:rPr>
              <w:t>Ready; no full texts assessed.</w:t>
            </w:r>
          </w:p>
        </w:tc>
      </w:tr>
      <w:tr>
        <w:tc>
          <w:tcPr>
            <w:tcW w:type="dxa" w:w="3120"/>
            <w:vAlign w:val="top"/>
          </w:tcPr>
          <w:p>
            <w:r>
              <w:rPr>
                <w:rFonts w:ascii="Times New Roman" w:hAnsi="Times New Roman" w:eastAsia="Times New Roman"/>
                <w:b w:val="0"/>
                <w:sz w:val="16"/>
              </w:rPr>
              <w:t>Extraction (T1-T5)</w:t>
            </w:r>
          </w:p>
        </w:tc>
        <w:tc>
          <w:tcPr>
            <w:tcW w:type="dxa" w:w="3120"/>
            <w:vAlign w:val="top"/>
          </w:tcPr>
          <w:p>
            <w:r>
              <w:rPr>
                <w:rFonts w:ascii="Times New Roman" w:hAnsi="Times New Roman" w:eastAsia="Times New Roman"/>
                <w:b w:val="0"/>
                <w:sz w:val="16"/>
              </w:rPr>
              <w:t>Citation/report and dataset link; design; sampling frame, unit and period; state/zone and setting; host/system; numerator/denominator; assay; subtype; clade/lineage; sequencing; phylogeny/support; accession; reassortment/mutation claim; limitations; quantitative-readiness fields.</w:t>
            </w:r>
          </w:p>
        </w:tc>
        <w:tc>
          <w:tcPr>
            <w:tcW w:type="dxa" w:w="3120"/>
            <w:vAlign w:val="top"/>
          </w:tcPr>
          <w:p>
            <w:r>
              <w:rPr>
                <w:rFonts w:ascii="Times New Roman" w:hAnsi="Times New Roman" w:eastAsia="Times New Roman"/>
                <w:b w:val="0"/>
                <w:sz w:val="16"/>
              </w:rPr>
              <w:t>Ready; zero records extracted.</w:t>
            </w:r>
          </w:p>
        </w:tc>
      </w:tr>
      <w:tr>
        <w:tc>
          <w:tcPr>
            <w:tcW w:type="dxa" w:w="3120"/>
            <w:vAlign w:val="top"/>
          </w:tcPr>
          <w:p>
            <w:r>
              <w:rPr>
                <w:rFonts w:ascii="Times New Roman" w:hAnsi="Times New Roman" w:eastAsia="Times New Roman"/>
                <w:b w:val="0"/>
                <w:sz w:val="16"/>
              </w:rPr>
              <w:t>Risk of bias/certainty (T7)</w:t>
            </w:r>
          </w:p>
        </w:tc>
        <w:tc>
          <w:tcPr>
            <w:tcW w:type="dxa" w:w="3120"/>
            <w:vAlign w:val="top"/>
          </w:tcPr>
          <w:p>
            <w:r>
              <w:rPr>
                <w:rFonts w:ascii="Times New Roman" w:hAnsi="Times New Roman" w:eastAsia="Times New Roman"/>
                <w:b w:val="0"/>
                <w:sz w:val="16"/>
              </w:rPr>
              <w:t>Relevant JBI Prevalence, Cross-Sectional or Cohort signalling items; molecular checks for sampling, assay/sequencing transparency, phylogeny/support, accession, nomenclature and reassortment discipline; narrative prognosis-style GRADE certainty note. No score sum.</w:t>
            </w:r>
          </w:p>
        </w:tc>
        <w:tc>
          <w:tcPr>
            <w:tcW w:type="dxa" w:w="3120"/>
            <w:vAlign w:val="top"/>
          </w:tcPr>
          <w:p>
            <w:r>
              <w:rPr>
                <w:rFonts w:ascii="Times New Roman" w:hAnsi="Times New Roman" w:eastAsia="Times New Roman"/>
                <w:b w:val="0"/>
                <w:sz w:val="16"/>
              </w:rPr>
              <w:t>Ready; zero records appraised.</w:t>
            </w:r>
          </w:p>
        </w:tc>
      </w:tr>
    </w:tbl>
    <w:p>
      <w:r>
        <w:rPr>
          <w:rFonts w:ascii="Times New Roman" w:hAnsi="Times New Roman" w:eastAsia="Times New Roman"/>
          <w:b w:val="0"/>
          <w:sz w:val="20"/>
        </w:rPr>
        <w:t>Next controlled action: independently screen and adjudicate the remaining 1,437 canonical identities at title/metadata, then assess the 83 provisional candidates and any additional title/metadata retains at full text. Do not begin extraction or risk-of-bias appraisal until full-text eligibility is fixed; do not claim a final PRISMA flow, included-study count, certainty finding or SWiM synthesis until the complete screening queue is reconciled.</w:t>
      </w:r>
    </w:p>
    <w:sectPr w:rsidR="000A25F0" w:rsidRPr="007C164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A864EC"/>
    <w:multiLevelType w:val="hybridMultilevel"/>
    <w:tmpl w:val="D8A259E8"/>
    <w:lvl w:ilvl="0" w:tplc="04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52065438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B3879"/>
    <w:rsid w:val="00007C2B"/>
    <w:rsid w:val="000641A8"/>
    <w:rsid w:val="00083FC1"/>
    <w:rsid w:val="000A25F0"/>
    <w:rsid w:val="00144733"/>
    <w:rsid w:val="00175F1A"/>
    <w:rsid w:val="002652F1"/>
    <w:rsid w:val="00271AD3"/>
    <w:rsid w:val="00345719"/>
    <w:rsid w:val="00355839"/>
    <w:rsid w:val="00373F11"/>
    <w:rsid w:val="003C4C05"/>
    <w:rsid w:val="004937AB"/>
    <w:rsid w:val="004A5FF7"/>
    <w:rsid w:val="00561B96"/>
    <w:rsid w:val="005A0048"/>
    <w:rsid w:val="005B3879"/>
    <w:rsid w:val="005E1035"/>
    <w:rsid w:val="006209BC"/>
    <w:rsid w:val="0073230F"/>
    <w:rsid w:val="00737A0D"/>
    <w:rsid w:val="007A4312"/>
    <w:rsid w:val="007C1647"/>
    <w:rsid w:val="008053C9"/>
    <w:rsid w:val="00853C58"/>
    <w:rsid w:val="00A47D4B"/>
    <w:rsid w:val="00AD199C"/>
    <w:rsid w:val="00AE6E46"/>
    <w:rsid w:val="00B8324A"/>
    <w:rsid w:val="00C71343"/>
    <w:rsid w:val="00CF5888"/>
    <w:rsid w:val="00E13712"/>
    <w:rsid w:val="00E551EA"/>
    <w:rsid w:val="00E822CD"/>
    <w:rsid w:val="00F31466"/>
    <w:rsid w:val="00F41D7A"/>
    <w:rsid w:val="00F773C1"/>
    <w:rsid w:val="00FD16D4"/>
    <w:rsid w:val="00FD3DC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FB0731"/>
  <w15:chartTrackingRefBased/>
  <w15:docId w15:val="{68959461-635C-4CB1-BAC7-1D72E3AE5EF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20" w:line="276" w:lineRule="auto"/>
    </w:pPr>
    <w:rPr>
      <w:rFonts w:ascii="Times New Roman" w:hAnsi="Times New Roman"/>
      <w:sz w:val="22"/>
      <w:lang w:val="en-GB"/>
    </w:rPr>
  </w:style>
  <w:style w:type="paragraph" w:styleId="Heading1">
    <w:name w:val="heading 1"/>
    <w:basedOn w:val="Normal"/>
    <w:next w:val="Normal"/>
    <w:link w:val="Heading1Char"/>
    <w:uiPriority w:val="9"/>
    <w:qFormat/>
    <w:rsid w:val="005B3879"/>
    <w:pPr>
      <w:keepNext/>
      <w:keepLines/>
      <w:spacing w:before="240" w:after="100"/>
      <w:outlineLvl w:val="0"/>
    </w:pPr>
    <w:rPr>
      <w:rFonts w:asciiTheme="majorHAnsi" w:eastAsiaTheme="majorEastAsia" w:hAnsiTheme="majorHAnsi" w:cstheme="majorBidi" w:ascii="Times New Roman" w:hAnsi="Times New Roman"/>
      <w:b/>
      <w:color w:val="0F4761" w:themeColor="accent1" w:themeShade="BF"/>
      <w:sz w:val="26"/>
      <w:szCs w:val="40"/>
    </w:rPr>
  </w:style>
  <w:style w:type="paragraph" w:styleId="Heading2">
    <w:name w:val="heading 2"/>
    <w:basedOn w:val="Normal"/>
    <w:next w:val="Normal"/>
    <w:link w:val="Heading2Char"/>
    <w:uiPriority w:val="9"/>
    <w:semiHidden/>
    <w:unhideWhenUsed/>
    <w:qFormat/>
    <w:rsid w:val="005B3879"/>
    <w:pPr>
      <w:keepNext/>
      <w:keepLines/>
      <w:spacing w:before="160" w:after="100"/>
      <w:outlineLvl w:val="1"/>
    </w:pPr>
    <w:rPr>
      <w:rFonts w:asciiTheme="majorHAnsi" w:eastAsiaTheme="majorEastAsia" w:hAnsiTheme="majorHAnsi" w:cstheme="majorBidi" w:ascii="Times New Roman" w:hAnsi="Times New Roman"/>
      <w:b/>
      <w:color w:val="0F4761" w:themeColor="accent1" w:themeShade="BF"/>
      <w:sz w:val="23"/>
      <w:szCs w:val="32"/>
    </w:rPr>
  </w:style>
  <w:style w:type="paragraph" w:styleId="Heading3">
    <w:name w:val="heading 3"/>
    <w:basedOn w:val="Normal"/>
    <w:next w:val="Normal"/>
    <w:link w:val="Heading3Char"/>
    <w:uiPriority w:val="9"/>
    <w:semiHidden/>
    <w:unhideWhenUsed/>
    <w:qFormat/>
    <w:rsid w:val="005B387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B387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B387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B387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B387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B387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B387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B3879"/>
    <w:rPr>
      <w:rFonts w:asciiTheme="majorHAnsi" w:eastAsiaTheme="majorEastAsia" w:hAnsiTheme="majorHAnsi" w:cstheme="majorBidi"/>
      <w:color w:val="0F4761" w:themeColor="accent1" w:themeShade="BF"/>
      <w:sz w:val="40"/>
      <w:szCs w:val="40"/>
      <w:lang w:val="en-GB"/>
    </w:rPr>
  </w:style>
  <w:style w:type="character" w:customStyle="1" w:styleId="Heading2Char">
    <w:name w:val="Heading 2 Char"/>
    <w:basedOn w:val="DefaultParagraphFont"/>
    <w:link w:val="Heading2"/>
    <w:uiPriority w:val="9"/>
    <w:semiHidden/>
    <w:rsid w:val="005B3879"/>
    <w:rPr>
      <w:rFonts w:asciiTheme="majorHAnsi" w:eastAsiaTheme="majorEastAsia" w:hAnsiTheme="majorHAnsi" w:cstheme="majorBidi"/>
      <w:color w:val="0F4761" w:themeColor="accent1" w:themeShade="BF"/>
      <w:sz w:val="32"/>
      <w:szCs w:val="32"/>
      <w:lang w:val="en-GB"/>
    </w:rPr>
  </w:style>
  <w:style w:type="character" w:customStyle="1" w:styleId="Heading3Char">
    <w:name w:val="Heading 3 Char"/>
    <w:basedOn w:val="DefaultParagraphFont"/>
    <w:link w:val="Heading3"/>
    <w:uiPriority w:val="9"/>
    <w:semiHidden/>
    <w:rsid w:val="005B3879"/>
    <w:rPr>
      <w:rFonts w:eastAsiaTheme="majorEastAsia" w:cstheme="majorBidi"/>
      <w:color w:val="0F4761" w:themeColor="accent1" w:themeShade="BF"/>
      <w:sz w:val="28"/>
      <w:szCs w:val="28"/>
      <w:lang w:val="en-GB"/>
    </w:rPr>
  </w:style>
  <w:style w:type="character" w:customStyle="1" w:styleId="Heading4Char">
    <w:name w:val="Heading 4 Char"/>
    <w:basedOn w:val="DefaultParagraphFont"/>
    <w:link w:val="Heading4"/>
    <w:uiPriority w:val="9"/>
    <w:semiHidden/>
    <w:rsid w:val="005B3879"/>
    <w:rPr>
      <w:rFonts w:eastAsiaTheme="majorEastAsia" w:cstheme="majorBidi"/>
      <w:i/>
      <w:iCs/>
      <w:color w:val="0F4761" w:themeColor="accent1" w:themeShade="BF"/>
      <w:lang w:val="en-GB"/>
    </w:rPr>
  </w:style>
  <w:style w:type="character" w:customStyle="1" w:styleId="Heading5Char">
    <w:name w:val="Heading 5 Char"/>
    <w:basedOn w:val="DefaultParagraphFont"/>
    <w:link w:val="Heading5"/>
    <w:uiPriority w:val="9"/>
    <w:semiHidden/>
    <w:rsid w:val="005B3879"/>
    <w:rPr>
      <w:rFonts w:eastAsiaTheme="majorEastAsia" w:cstheme="majorBidi"/>
      <w:color w:val="0F4761" w:themeColor="accent1" w:themeShade="BF"/>
      <w:lang w:val="en-GB"/>
    </w:rPr>
  </w:style>
  <w:style w:type="character" w:customStyle="1" w:styleId="Heading6Char">
    <w:name w:val="Heading 6 Char"/>
    <w:basedOn w:val="DefaultParagraphFont"/>
    <w:link w:val="Heading6"/>
    <w:uiPriority w:val="9"/>
    <w:semiHidden/>
    <w:rsid w:val="005B3879"/>
    <w:rPr>
      <w:rFonts w:eastAsiaTheme="majorEastAsia" w:cstheme="majorBidi"/>
      <w:i/>
      <w:iCs/>
      <w:color w:val="595959" w:themeColor="text1" w:themeTint="A6"/>
      <w:lang w:val="en-GB"/>
    </w:rPr>
  </w:style>
  <w:style w:type="character" w:customStyle="1" w:styleId="Heading7Char">
    <w:name w:val="Heading 7 Char"/>
    <w:basedOn w:val="DefaultParagraphFont"/>
    <w:link w:val="Heading7"/>
    <w:uiPriority w:val="9"/>
    <w:semiHidden/>
    <w:rsid w:val="005B3879"/>
    <w:rPr>
      <w:rFonts w:eastAsiaTheme="majorEastAsia" w:cstheme="majorBidi"/>
      <w:color w:val="595959" w:themeColor="text1" w:themeTint="A6"/>
      <w:lang w:val="en-GB"/>
    </w:rPr>
  </w:style>
  <w:style w:type="character" w:customStyle="1" w:styleId="Heading8Char">
    <w:name w:val="Heading 8 Char"/>
    <w:basedOn w:val="DefaultParagraphFont"/>
    <w:link w:val="Heading8"/>
    <w:uiPriority w:val="9"/>
    <w:semiHidden/>
    <w:rsid w:val="005B3879"/>
    <w:rPr>
      <w:rFonts w:eastAsiaTheme="majorEastAsia" w:cstheme="majorBidi"/>
      <w:i/>
      <w:iCs/>
      <w:color w:val="272727" w:themeColor="text1" w:themeTint="D8"/>
      <w:lang w:val="en-GB"/>
    </w:rPr>
  </w:style>
  <w:style w:type="character" w:customStyle="1" w:styleId="Heading9Char">
    <w:name w:val="Heading 9 Char"/>
    <w:basedOn w:val="DefaultParagraphFont"/>
    <w:link w:val="Heading9"/>
    <w:uiPriority w:val="9"/>
    <w:semiHidden/>
    <w:rsid w:val="005B3879"/>
    <w:rPr>
      <w:rFonts w:eastAsiaTheme="majorEastAsia" w:cstheme="majorBidi"/>
      <w:color w:val="272727" w:themeColor="text1" w:themeTint="D8"/>
      <w:lang w:val="en-GB"/>
    </w:rPr>
  </w:style>
  <w:style w:type="paragraph" w:styleId="Title">
    <w:name w:val="Title"/>
    <w:basedOn w:val="Normal"/>
    <w:next w:val="Normal"/>
    <w:link w:val="TitleChar"/>
    <w:uiPriority w:val="10"/>
    <w:qFormat/>
    <w:rsid w:val="005B3879"/>
    <w:pPr>
      <w:spacing w:after="80" w:line="240" w:lineRule="auto"/>
      <w:contextualSpacing/>
    </w:pPr>
    <w:rPr>
      <w:rFonts w:asciiTheme="majorHAnsi" w:eastAsiaTheme="majorEastAsia" w:hAnsiTheme="majorHAnsi" w:cstheme="majorBidi" w:ascii="Times New Roman" w:hAnsi="Times New Roman"/>
      <w:b/>
      <w:spacing w:val="-10"/>
      <w:kern w:val="28"/>
      <w:sz w:val="28"/>
      <w:szCs w:val="56"/>
    </w:rPr>
  </w:style>
  <w:style w:type="character" w:customStyle="1" w:styleId="TitleChar">
    <w:name w:val="Title Char"/>
    <w:basedOn w:val="DefaultParagraphFont"/>
    <w:link w:val="Title"/>
    <w:uiPriority w:val="10"/>
    <w:rsid w:val="005B3879"/>
    <w:rPr>
      <w:rFonts w:asciiTheme="majorHAnsi" w:eastAsiaTheme="majorEastAsia" w:hAnsiTheme="majorHAnsi" w:cstheme="majorBidi"/>
      <w:spacing w:val="-10"/>
      <w:kern w:val="28"/>
      <w:sz w:val="56"/>
      <w:szCs w:val="56"/>
      <w:lang w:val="en-GB"/>
    </w:rPr>
  </w:style>
  <w:style w:type="paragraph" w:styleId="Subtitle">
    <w:name w:val="Subtitle"/>
    <w:basedOn w:val="Normal"/>
    <w:next w:val="Normal"/>
    <w:link w:val="SubtitleChar"/>
    <w:uiPriority w:val="11"/>
    <w:qFormat/>
    <w:rsid w:val="005B387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B3879"/>
    <w:rPr>
      <w:rFonts w:eastAsiaTheme="majorEastAsia" w:cstheme="majorBidi"/>
      <w:color w:val="595959" w:themeColor="text1" w:themeTint="A6"/>
      <w:spacing w:val="15"/>
      <w:sz w:val="28"/>
      <w:szCs w:val="28"/>
      <w:lang w:val="en-GB"/>
    </w:rPr>
  </w:style>
  <w:style w:type="paragraph" w:styleId="Quote">
    <w:name w:val="Quote"/>
    <w:basedOn w:val="Normal"/>
    <w:next w:val="Normal"/>
    <w:link w:val="QuoteChar"/>
    <w:uiPriority w:val="29"/>
    <w:qFormat/>
    <w:rsid w:val="005B3879"/>
    <w:pPr>
      <w:spacing w:before="160"/>
      <w:jc w:val="center"/>
    </w:pPr>
    <w:rPr>
      <w:i/>
      <w:iCs/>
      <w:color w:val="404040" w:themeColor="text1" w:themeTint="BF"/>
    </w:rPr>
  </w:style>
  <w:style w:type="character" w:customStyle="1" w:styleId="QuoteChar">
    <w:name w:val="Quote Char"/>
    <w:basedOn w:val="DefaultParagraphFont"/>
    <w:link w:val="Quote"/>
    <w:uiPriority w:val="29"/>
    <w:rsid w:val="005B3879"/>
    <w:rPr>
      <w:i/>
      <w:iCs/>
      <w:color w:val="404040" w:themeColor="text1" w:themeTint="BF"/>
      <w:lang w:val="en-GB"/>
    </w:rPr>
  </w:style>
  <w:style w:type="paragraph" w:styleId="ListParagraph">
    <w:name w:val="List Paragraph"/>
    <w:basedOn w:val="Normal"/>
    <w:uiPriority w:val="34"/>
    <w:qFormat/>
    <w:rsid w:val="005B3879"/>
    <w:pPr>
      <w:ind w:left="720"/>
      <w:contextualSpacing/>
    </w:pPr>
    <w:rPr>
      <w:rFonts w:ascii="Times New Roman" w:hAnsi="Times New Roman"/>
      <w:sz w:val="21"/>
    </w:rPr>
  </w:style>
  <w:style w:type="character" w:styleId="IntenseEmphasis">
    <w:name w:val="Intense Emphasis"/>
    <w:basedOn w:val="DefaultParagraphFont"/>
    <w:uiPriority w:val="21"/>
    <w:qFormat/>
    <w:rsid w:val="005B3879"/>
    <w:rPr>
      <w:i/>
      <w:iCs/>
      <w:color w:val="0F4761" w:themeColor="accent1" w:themeShade="BF"/>
    </w:rPr>
  </w:style>
  <w:style w:type="paragraph" w:styleId="IntenseQuote">
    <w:name w:val="Intense Quote"/>
    <w:basedOn w:val="Normal"/>
    <w:next w:val="Normal"/>
    <w:link w:val="IntenseQuoteChar"/>
    <w:uiPriority w:val="30"/>
    <w:qFormat/>
    <w:rsid w:val="005B387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B3879"/>
    <w:rPr>
      <w:i/>
      <w:iCs/>
      <w:color w:val="0F4761" w:themeColor="accent1" w:themeShade="BF"/>
      <w:lang w:val="en-GB"/>
    </w:rPr>
  </w:style>
  <w:style w:type="character" w:styleId="IntenseReference">
    <w:name w:val="Intense Reference"/>
    <w:basedOn w:val="DefaultParagraphFont"/>
    <w:uiPriority w:val="32"/>
    <w:qFormat/>
    <w:rsid w:val="005B3879"/>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4DED07E-BA7E-4943-8282-59AB4E47038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2076</TotalTime>
  <Pages>12</Pages>
  <Words>3120</Words>
  <Characters>17789</Characters>
  <Application>Microsoft Office Word</Application>
  <DocSecurity>0</DocSecurity>
  <Lines>148</Lines>
  <Paragraphs>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20868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Nigeria AIV protocol and search/record-management status report</dc:title>
  <dc:subject>Submission-stage protocol; not a completed systematic review</dc:subject>
  <dc:creator>Dr Mayowa Olabode</dc:creator>
  <cp:keywords/>
  <dc:description/>
  <cp:lastModifiedBy>Dr Mayowa Olabode</cp:lastModifiedBy>
  <cp:revision>2</cp:revision>
  <dcterms:created xsi:type="dcterms:W3CDTF">2026-09-12T16:51:00Z</dcterms:created>
  <dcterms:modified xsi:type="dcterms:W3CDTF">2026-09-15T19:33:00Z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bf89eea2-ea0d-446d-b4b6-daefa108b847</vt:lpwstr>
  </property>
</Properties>
</file>