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84.png" ContentType="image/png"/>
  <Override PartName="/word/media/rId42.png" ContentType="image/png"/>
  <Override PartName="/word/media/rId38.png" ContentType="image/png"/>
  <Override PartName="/word/media/rId16.png" ContentType="image/png"/>
  <Override PartName="/word/media/rId26.png" ContentType="image/png"/>
  <Override PartName="/word/media/rId58.png" ContentType="image/png"/>
  <Override PartName="/word/media/rId32.png" ContentType="image/png"/>
  <Override PartName="/word/media/rId52.png" ContentType="image/png"/>
  <Override PartName="/word/media/rId67.png" ContentType="image/png"/>
  <Override PartName="/word/media/rId20.png" ContentType="image/png"/>
  <Override PartName="/word/media/rId74.png" ContentType="image/png"/>
  <Override PartName="/word/media/rId78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Comparative Anti-Trypanosomal Activity of Azadirachta indica and Moringa oleifera against Trypanosoma congolense and T. evansi — Statistical 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1 Abstract</w:t>
      </w:r>
    </w:p>
    <w:p>
      <w:pPr>
        <w:pStyle w:val="FirstParagraph"/>
      </w:pPr>
      <w:r>
        <w:t xml:space="preserve">Methanolic extracts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(leaves,</w:t>
      </w:r>
      <w:r>
        <w:t xml:space="preserve"> </w:t>
      </w:r>
      <w:r>
        <w:t xml:space="preserve">stem bark, roots, seeds) were tested 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in motility assays and in albino mice (N = 16 plant × part ×</w:t>
      </w:r>
      <w:r>
        <w:t xml:space="preserve"> </w:t>
      </w:r>
      <w:r>
        <w:t xml:space="preserve">parasite blocks; group means of n = 3 mice). Both parasites show a clear,</w:t>
      </w:r>
      <w:r>
        <w:t xml:space="preserve"> </w:t>
      </w:r>
      <w:r>
        <w:t xml:space="preserve">monotonic dose response: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significantly (Friedman p = 0.006; top</w:t>
      </w:r>
      <w:r>
        <w:t xml:space="preserve"> </w:t>
      </w:r>
      <w:r>
        <w:t xml:space="preserve">three doses beat control, Holm 0.039) and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suggestively</w:t>
      </w:r>
      <w:r>
        <w:t xml:space="preserve"> </w:t>
      </w:r>
      <w:r>
        <w:t xml:space="preserve">(Friedman p = 0.074; 100 mg/ml Holm 0.071). At 100 mg/ml the mean peak</w:t>
      </w:r>
      <w:r>
        <w:t xml:space="preserve"> </w:t>
      </w:r>
      <w:r>
        <w:t xml:space="preserve">parasitaemia is zero in both parasites with no deaths, against universal</w:t>
      </w:r>
      <w:r>
        <w:t xml:space="preserve"> </w:t>
      </w:r>
      <w:r>
        <w:t xml:space="preserve">mortality in Negative Controls. No evidence separates the two plants</w:t>
      </w:r>
      <w:r>
        <w:t xml:space="preserve"> </w:t>
      </w:r>
      <w:r>
        <w:t xml:space="preserve">(paired p = 1.0, HL 0.3 [−14.7, 20.5]). All inference is block-level and</w:t>
      </w:r>
      <w:r>
        <w:t xml:space="preserve"> </w:t>
      </w:r>
      <w:r>
        <w:t xml:space="preserve">rank-based; every headline claim survived leave-one-block-out sensitivity</w:t>
      </w:r>
      <w:r>
        <w:t xml:space="preserve"> </w:t>
      </w:r>
      <w:r>
        <w:t xml:space="preserve">analysis.</w:t>
      </w:r>
    </w:p>
    <w:bookmarkEnd w:id="9"/>
    <w:bookmarkStart w:id="10" w:name="aim-objectives-and-section-map"/>
    <w:p>
      <w:pPr>
        <w:pStyle w:val="Heading2"/>
      </w:pPr>
      <w:r>
        <w:t xml:space="preserve">2 1. Aim, objectives and section map</w:t>
      </w:r>
    </w:p>
    <w:p>
      <w:pPr>
        <w:pStyle w:val="FirstParagraph"/>
      </w:pPr>
      <w:r>
        <w:t xml:space="preserve">The aim of this study is to comparatively evaluate the anti-trypanosomal</w:t>
      </w:r>
      <w:r>
        <w:t xml:space="preserve"> </w:t>
      </w:r>
      <w:r>
        <w:t xml:space="preserve">activity of methanolic extracts of the leaves, stem bark, roots and seeds of</w:t>
      </w:r>
      <w:r>
        <w:t xml:space="preserve"> </w:t>
      </w:r>
      <w:r>
        <w:rPr>
          <w:i/>
          <w:iCs/>
        </w:rPr>
        <w:t xml:space="preserve">Azadirachta indica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Moringa oleifera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Trypanosoma congolense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(thesis §1.8.1). Each specific objective (§1.8.2) is addressed</w:t>
      </w:r>
      <w:r>
        <w:t xml:space="preserve"> </w:t>
      </w:r>
      <w:r>
        <w:t xml:space="preserve">in a dedicated results section — extraction (i) in §5.1, phytochemical</w:t>
      </w:r>
      <w:r>
        <w:t xml:space="preserve"> </w:t>
      </w:r>
      <w:r>
        <w:t xml:space="preserve">characterisation (ii) in §5.2, the motility assay (iii) in §5.3, in-vivo</w:t>
      </w:r>
      <w:r>
        <w:t xml:space="preserve"> </w:t>
      </w:r>
      <w:r>
        <w:t xml:space="preserve">infectivity (iv) in §5.4, superiority (v) in §5.5 — each opening with</w:t>
      </w:r>
      <w:r>
        <w:t xml:space="preserve"> </w:t>
      </w:r>
      <w:r>
        <w:t xml:space="preserve">exploratory description before any inference. Diagnostics, limitations and</w:t>
      </w:r>
      <w:r>
        <w:t xml:space="preserve"> </w:t>
      </w:r>
      <w:r>
        <w:t xml:space="preserve">references follow in §6–§8.</w:t>
      </w:r>
    </w:p>
    <w:bookmarkEnd w:id="10"/>
    <w:bookmarkStart w:id="11" w:name="data-and-experimental-design"/>
    <w:p>
      <w:pPr>
        <w:pStyle w:val="Heading2"/>
      </w:pPr>
      <w:r>
        <w:t xml:space="preserve">3 2. Data and experimental design</w:t>
      </w:r>
    </w:p>
    <w:p>
      <w:pPr>
        <w:pStyle w:val="FirstParagraph"/>
      </w:pPr>
      <w:r>
        <w:t xml:space="preserve">Source data are group means of n = 3 mice per group, parsed from Sheet 2 of</w:t>
      </w:r>
      <w:r>
        <w:t xml:space="preserve"> </w:t>
      </w:r>
      <w:r>
        <w:t xml:space="preserve">the study workbook into tidy CSVs (</w:t>
      </w:r>
      <w:r>
        <w:rPr>
          <w:rStyle w:val="VerbatimChar"/>
        </w:rPr>
        <w:t xml:space="preserve">analysis/data/</w:t>
      </w:r>
      <w:r>
        <w:t xml:space="preserve">, builder</w:t>
      </w:r>
      <w:r>
        <w:t xml:space="preserve"> </w:t>
      </w:r>
      <w:r>
        <w:rPr>
          <w:rStyle w:val="VerbatimChar"/>
        </w:rPr>
        <w:t xml:space="preserve">analysis/R/01_build_datasets.R</w:t>
      </w:r>
      <w:r>
        <w:t xml:space="preserve">). Within any block each of the 7 groups is</w:t>
      </w:r>
      <w:r>
        <w:t xml:space="preserve"> </w:t>
      </w:r>
      <w:r>
        <w:t xml:space="preserve">therefore n = 1 (descriptive only); the analytical unit is the</w:t>
      </w:r>
      <w:r>
        <w:t xml:space="preserve"> </w:t>
      </w:r>
      <w:r>
        <w:rPr>
          <w:b/>
          <w:bCs/>
        </w:rPr>
        <w:t xml:space="preserve">block</w:t>
      </w:r>
      <w:r>
        <w:rPr>
          <w:b/>
          <w:bCs/>
        </w:rPr>
        <w:t xml:space="preserve"> </w:t>
      </w:r>
      <w:r>
        <w:rPr>
          <w:b/>
          <w:bCs/>
        </w:rPr>
        <w:t xml:space="preserve">(N = 16; 8 per plant, 8 per parasite)</w:t>
      </w:r>
      <w:r>
        <w:t xml:space="preserve">. Plant contrasts pair by part ×</w:t>
      </w:r>
      <w:r>
        <w:t xml:space="preserve"> </w:t>
      </w:r>
      <w:r>
        <w:t xml:space="preserve">parasite (8 pairs); parasite contrasts pair by plant × part (8 pairs).</w:t>
      </w:r>
      <w:r>
        <w:t xml:space="preserve"> </w:t>
      </w:r>
      <w:r>
        <w:t xml:space="preserve">Controls appear as labelled in the source (identities/doses unstated), so the</w:t>
      </w:r>
      <w:r>
        <w:t xml:space="preserve"> </w:t>
      </w:r>
      <w:r>
        <w:t xml:space="preserve">Positive Control is an assay-validity reference only.</w:t>
      </w:r>
    </w:p>
    <w:bookmarkEnd w:id="11"/>
    <w:bookmarkStart w:id="12" w:name="endpoints"/>
    <w:p>
      <w:pPr>
        <w:pStyle w:val="Heading2"/>
      </w:pPr>
      <w:r>
        <w:t xml:space="preserve">4 3. Endpoints</w:t>
      </w:r>
    </w:p>
    <w:p>
      <w:pPr>
        <w:pStyle w:val="FirstParagraph"/>
      </w:pPr>
      <w:r>
        <w:t xml:space="preserve">Parasitaemia (LEV 0–5 ordinal): primary</w:t>
      </w:r>
      <w:r>
        <w:t xml:space="preserve"> </w:t>
      </w:r>
      <w:r>
        <w:rPr>
          <w:b/>
          <w:bCs/>
        </w:rPr>
        <w:t xml:space="preserve">AUC</w:t>
      </w:r>
      <w:r>
        <w:t xml:space="preserve"> </w:t>
      </w:r>
      <w:r>
        <w:t xml:space="preserve">(death-censored trapezoid,</w:t>
      </w:r>
      <w:r>
        <w:t xml:space="preserve"> </w:t>
      </w:r>
      <w:r>
        <w:t xml:space="preserve">always with mortality), supported by peak LEV, clearance day and day-40</w:t>
      </w:r>
      <w:r>
        <w:t xml:space="preserve"> </w:t>
      </w:r>
      <w:r>
        <w:t xml:space="preserve">status — day-40 alone is degenerate (0/112 positive; positivity peaks ~30%</w:t>
      </w:r>
      <w:r>
        <w:t xml:space="preserve"> </w:t>
      </w:r>
      <w:r>
        <w:t xml:space="preserve">at days 9–14). Motility: TTI, t120, mean proportion motile (key:</w:t>
      </w:r>
      <w:r>
        <w:t xml:space="preserve"> </w:t>
      </w:r>
      <w:r>
        <w:rPr>
          <w:rStyle w:val="VerbatimChar"/>
        </w:rPr>
        <w:t xml:space="preserve">+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− No motility</w:t>
      </w:r>
      <w:r>
        <w:t xml:space="preserve">;</w:t>
      </w:r>
      <w:r>
        <w:t xml:space="preserve"> </w:t>
      </w:r>
      <w:r>
        <w:rPr>
          <w:rStyle w:val="VerbatimChar"/>
        </w:rPr>
        <w:t xml:space="preserve">+-</w:t>
      </w:r>
      <w:r>
        <w:t xml:space="preserve"> </w:t>
      </w:r>
      <w:r>
        <w:t xml:space="preserve">→ NA, 2 cells). Weight/PCV: Δ = Post − Pre with</w:t>
      </w:r>
      <w:r>
        <w:t xml:space="preserve"> </w:t>
      </w:r>
      <w:r>
        <w:t xml:space="preserve">literature flags (anaemia: Post &lt; 35% or ≥ 25% drop, severe &lt; 30%/≥ 40%;</w:t>
      </w:r>
      <w:r>
        <w:t xml:space="preserve"> </w:t>
      </w:r>
      <w:r>
        <w:t xml:space="preserve">weight signal ≥ 10% loss, severe ≥ 20%). Raw LEV &gt; 5 (42 cells) capped to 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lev_raw</w:t>
      </w:r>
      <w:r>
        <w:t xml:space="preserve"> </w:t>
      </w:r>
      <w:r>
        <w:t xml:space="preserve">preserved and flagged. Missing in-vivo values = death</w:t>
      </w:r>
      <w:r>
        <w:t xml:space="preserve"> </w:t>
      </w:r>
      <w:r>
        <w:t xml:space="preserve">(adopted convention, never imputed).</w:t>
      </w:r>
    </w:p>
    <w:bookmarkEnd w:id="12"/>
    <w:bookmarkStart w:id="13" w:name="statistical-methods"/>
    <w:p>
      <w:pPr>
        <w:pStyle w:val="Heading2"/>
      </w:pPr>
      <w:r>
        <w:t xml:space="preserve">5 4. Statistical methods</w:t>
      </w:r>
    </w:p>
    <w:p>
      <w:pPr>
        <w:pStyle w:val="FirstParagraph"/>
      </w:pPr>
      <w:r>
        <w:t xml:space="preserve">Description first (trajectories, endpoint tables, flags), then rank-based</w:t>
      </w:r>
      <w:r>
        <w:t xml:space="preserve"> </w:t>
      </w:r>
      <w:r>
        <w:t xml:space="preserve">inference: Friedman blocked by block for dose trends with pooled Spearman ρ</w:t>
      </w:r>
      <w:r>
        <w:t xml:space="preserve"> </w:t>
      </w:r>
      <w:r>
        <w:t xml:space="preserve">on log10 dose; paired Wilcoxon signed-rank (exact when tie-free, otherwise</w:t>
      </w:r>
      <w:r>
        <w:t xml:space="preserve"> </w:t>
      </w:r>
      <w:r>
        <w:t xml:space="preserve">the continuity-corrected normal approximation — §6) for dose-vs-control</w:t>
      </w:r>
      <w:r>
        <w:t xml:space="preserve"> </w:t>
      </w:r>
      <w:r>
        <w:t xml:space="preserve">post-hocs and plant/parasite contrasts, with matched-pairs rank-biserial</w:t>
      </w:r>
      <w:r>
        <w:t xml:space="preserve"> </w:t>
      </w:r>
      <w:r>
        <w:t xml:space="preserve">effect size (|r| ≥ 0.11/0.28/0.43) and Hodges–Lehmann median difference with</w:t>
      </w:r>
      <w:r>
        <w:t xml:space="preserve"> </w:t>
      </w:r>
      <w:r>
        <w:t xml:space="preserve">95% CI. Dose-vs-control families are Holm-adjusted per parasite; plant and</w:t>
      </w:r>
      <w:r>
        <w:t xml:space="preserve"> </w:t>
      </w:r>
      <w:r>
        <w:t xml:space="preserve">parasite questions are independent and uncorrected across questions.</w:t>
      </w:r>
      <w:r>
        <w:t xml:space="preserve"> </w:t>
      </w:r>
      <w:r>
        <w:t xml:space="preserve">Per-block trend tests at n = 1 lack power, so only the blocked Friedman is</w:t>
      </w:r>
      <w:r>
        <w:t xml:space="preserve"> </w:t>
      </w:r>
      <w:r>
        <w:t xml:space="preserve">inferential. Significance p &lt; 0.05, p-values supplementary to effects.</w:t>
      </w:r>
      <w:r>
        <w:t xml:space="preserve"> </w:t>
      </w:r>
      <w:r>
        <w:t xml:space="preserve">Script:</w:t>
      </w:r>
      <w:r>
        <w:t xml:space="preserve"> </w:t>
      </w:r>
      <w:r>
        <w:rPr>
          <w:rStyle w:val="VerbatimChar"/>
        </w:rPr>
        <w:t xml:space="preserve">analysis/R/02_analysis.R</w:t>
      </w:r>
      <w:r>
        <w:t xml:space="preserve"> </w:t>
      </w:r>
      <w:r>
        <w:t xml:space="preserve">(statistics only, no ML).</w:t>
      </w:r>
    </w:p>
    <w:bookmarkEnd w:id="13"/>
    <w:bookmarkStart w:id="14" w:name="objective-i-methanolic-extraction"/>
    <w:p>
      <w:pPr>
        <w:pStyle w:val="Heading2"/>
      </w:pPr>
      <w:r>
        <w:t xml:space="preserve">6 5.1. Objective i — methanolic extraction</w:t>
      </w:r>
    </w:p>
    <w:p>
      <w:pPr>
        <w:pStyle w:val="FirstParagraph"/>
      </w:pPr>
      <w:r>
        <w:t xml:space="preserve">Objective i is a laboratory procedure with no statistical component — no</w:t>
      </w:r>
      <w:r>
        <w:t xml:space="preserve"> </w:t>
      </w:r>
      <w:r>
        <w:t xml:space="preserve">yields or replicates are recorded — so there is nothing to estimate or test.</w:t>
      </w:r>
      <w:r>
        <w:t xml:space="preserve"> </w:t>
      </w:r>
      <w:r>
        <w:t xml:space="preserve">It is noted here solely to keep the objective map complete.</w:t>
      </w:r>
    </w:p>
    <w:bookmarkEnd w:id="14"/>
    <w:bookmarkStart w:id="24" w:name="objective-ii-phytochemical-contents"/>
    <w:p>
      <w:pPr>
        <w:pStyle w:val="Heading2"/>
      </w:pPr>
      <w:r>
        <w:t xml:space="preserve">7 5.2. Objective ii — phytochemical contents</w:t>
      </w:r>
    </w:p>
    <w:p>
      <w:pPr>
        <w:pStyle w:val="FirstParagraph"/>
      </w:pPr>
      <w:r>
        <w:t xml:space="preserve">Exploration first: screening recovered all 12 compound classes, with</w:t>
      </w:r>
      <w:r>
        <w:t xml:space="preserve"> </w:t>
      </w:r>
      <w:r>
        <w:t xml:space="preserve">richness concentrated in leaves and seeds (</w:t>
      </w:r>
      <w:hyperlink w:anchor="fig-rich">
        <w:r>
          <w:rPr>
            <w:rStyle w:val="Hyperlink"/>
          </w:rPr>
          <w:t xml:space="preserve">Figure 1</w:t>
        </w:r>
      </w:hyperlink>
      <w:r>
        <w:t xml:space="preserve">;</w:t>
      </w:r>
      <w:r>
        <w:t xml:space="preserve"> </w:t>
      </w:r>
      <w:hyperlink w:anchor="tbl-phyto">
        <w:r>
          <w:rPr>
            <w:rStyle w:val="Hyperlink"/>
          </w:rPr>
          <w:t xml:space="preserve">Table 1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M.</w:t>
      </w:r>
      <w:r>
        <w:rPr>
          <w:i/>
          <w:iCs/>
        </w:rPr>
        <w:t xml:space="preserve"> </w:t>
      </w:r>
      <w:r>
        <w:rPr>
          <w:i/>
          <w:iCs/>
        </w:rPr>
        <w:t xml:space="preserve">oleifera</w:t>
      </w:r>
      <w:r>
        <w:t xml:space="preserve"> </w:t>
      </w:r>
      <w:r>
        <w:t xml:space="preserve">leaves carry the broadest profile (9 of 12) and stem bark the</w:t>
      </w:r>
      <w:r>
        <w:t xml:space="preserve"> </w:t>
      </w:r>
      <w:r>
        <w:t xml:space="preserve">sparsest in both plants; the presence matrix (</w:t>
      </w:r>
      <w:hyperlink w:anchor="fig-phyto-hm">
        <w:r>
          <w:rPr>
            <w:rStyle w:val="Hyperlink"/>
          </w:rPr>
          <w:t xml:space="preserve">Figure 2</w:t>
        </w:r>
      </w:hyperlink>
      <w:r>
        <w:t xml:space="preserve">) shows no single</w:t>
      </w:r>
      <w:r>
        <w:t xml:space="preserve"> </w:t>
      </w:r>
      <w:r>
        <w:t xml:space="preserve">plant-specific signature compound. With only eight plant × part combinations</w:t>
      </w:r>
      <w:r>
        <w:t xml:space="preserve"> </w:t>
      </w:r>
      <w:r>
        <w:t xml:space="preserve">no test has power, so inference stops here: compound–efficacy overlays are</w:t>
      </w:r>
      <w:r>
        <w:t xml:space="preserve"> </w:t>
      </w:r>
      <w:r>
        <w:t xml:space="preserve">tabulated exploratorily without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phytochemical_efficacy_overlay.csv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phyt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Phytochemical richness per plant and part (descriptive).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n_present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n_absent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roots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seeds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stem bark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rich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richness_bar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Richness: classes present of 12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hyto-hm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hytochemical_heatma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Phytochemical presence by plant and part</w:t>
            </w:r>
          </w:p>
          <w:bookmarkEnd w:id="23"/>
        </w:tc>
      </w:tr>
    </w:tbl>
    <w:bookmarkEnd w:id="24"/>
    <w:bookmarkStart w:id="36" w:name="X6aa15a9a3061acaa265f726b06ec49122a5cdd2"/>
    <w:p>
      <w:pPr>
        <w:pStyle w:val="Heading2"/>
      </w:pPr>
      <w:r>
        <w:t xml:space="preserve">8 5.3. Objective iii — in-vitro motility dose response</w:t>
      </w:r>
    </w:p>
    <w:p>
      <w:pPr>
        <w:pStyle w:val="FirstParagraph"/>
      </w:pPr>
      <w:r>
        <w:t xml:space="preserve">Exploration shows a textbook gradient (</w:t>
      </w:r>
      <w:hyperlink w:anchor="fig-tti">
        <w:r>
          <w:rPr>
            <w:rStyle w:val="Hyperlink"/>
          </w:rPr>
          <w:t xml:space="preserve">Figure 3</w:t>
        </w:r>
      </w:hyperlink>
      <w:r>
        <w:t xml:space="preserve">): median TTI rises from 15</w:t>
      </w:r>
      <w:r>
        <w:t xml:space="preserve"> </w:t>
      </w:r>
      <w:r>
        <w:t xml:space="preserve">min at 100 mg/ml (both parasites, zero censoring) through ~45–105 min at</w:t>
      </w:r>
      <w:r>
        <w:t xml:space="preserve"> </w:t>
      </w:r>
      <w:r>
        <w:t xml:space="preserve">intermediate doses to fully censored Negative Controls, while mean t120</w:t>
      </w:r>
      <w:r>
        <w:t xml:space="preserve"> </w:t>
      </w:r>
      <w:r>
        <w:t xml:space="preserve">motility climbs from 0 to 0.67–1.0 (</w:t>
      </w:r>
      <w:hyperlink w:anchor="tbl-tti">
        <w:r>
          <w:rPr>
            <w:rStyle w:val="Hyperlink"/>
          </w:rPr>
          <w:t xml:space="preserve">Table 2</w:t>
        </w:r>
      </w:hyperlink>
      <w:r>
        <w:t xml:space="preserve">). Trajectories (</w:t>
      </w:r>
      <w:hyperlink w:anchor="fig-mot-traj">
        <w:r>
          <w:rPr>
            <w:rStyle w:val="Hyperlink"/>
          </w:rPr>
          <w:t xml:space="preserve">Figure 4</w:t>
        </w:r>
      </w:hyperlink>
      <w:r>
        <w:t xml:space="preserve">)</w:t>
      </w:r>
      <w:r>
        <w:t xml:space="preserve"> </w:t>
      </w:r>
      <w:r>
        <w:t xml:space="preserve">confirm rapid kill at high doses and the expected Positive Control profile</w:t>
      </w:r>
      <w:r>
        <w:t xml:space="preserve"> </w:t>
      </w:r>
      <w:r>
        <w:t xml:space="preserve">(+ at t = 0, immobile thereafter). Inference follows the description: the</w:t>
      </w:r>
      <w:r>
        <w:t xml:space="preserve"> </w:t>
      </w:r>
      <w:r>
        <w:t xml:space="preserve">blocked dose trend is highly significant for both parasites (</w:t>
      </w:r>
      <w:hyperlink w:anchor="tbl-mot-dose">
        <w:r>
          <w:rPr>
            <w:rStyle w:val="Hyperlink"/>
          </w:rPr>
          <w:t xml:space="preserve">Table 3</w:t>
        </w:r>
      </w:hyperlink>
      <w:r>
        <w:t xml:space="preserve">: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Q = 27.75, p &lt; 0.001, ρ = −0.70;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Q = 30.32, p &lt; 0.001,</w:t>
      </w:r>
      <w:r>
        <w:t xml:space="preserve"> </w:t>
      </w:r>
      <w:r>
        <w:t xml:space="preserve">ρ = −0.88). Post-hoc dose-vs-control contrasts (</w:t>
      </w:r>
      <w:hyperlink w:anchor="tbl-mot-posthoc">
        <w:r>
          <w:rPr>
            <w:rStyle w:val="Hyperlink"/>
          </w:rPr>
          <w:t xml:space="preserve">Table 4</w:t>
        </w:r>
      </w:hyperlink>
      <w:r>
        <w:t xml:space="preserve">) carry</w:t>
      </w:r>
      <w:r>
        <w:t xml:space="preserve"> </w:t>
      </w:r>
      <w:r>
        <w:t xml:space="preserve">large consistent effects (rank-biserial −1; HL ≈ −0.83</w:t>
      </w:r>
      <w:r>
        <w:t xml:space="preserve"> </w:t>
      </w:r>
      <w:r>
        <w:rPr>
          <w:i/>
          <w:iCs/>
        </w:rPr>
        <w:t xml:space="preserve">congolense</w:t>
      </w:r>
      <w:r>
        <w:t xml:space="preserve">,</w:t>
      </w:r>
      <w:r>
        <w:t xml:space="preserve"> </w:t>
      </w:r>
      <w:r>
        <w:t xml:space="preserve">−0.89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at 100 mg/ml) that sit just above Holm-adjusted significance</w:t>
      </w:r>
      <w:r>
        <w:t xml:space="preserve"> </w:t>
      </w:r>
      <w:r>
        <w:t xml:space="preserve">(0.065, 0.052) — strong but formally inconclusive at N = 8; lower doses match</w:t>
      </w:r>
      <w:r>
        <w:t xml:space="preserve"> </w:t>
      </w:r>
      <w:r>
        <w:t xml:space="preserve">the control.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tt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Exploratory TTI and t120 summaries per dose (medians; censored groups never immobilise).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68"/>
              <w:gridCol w:w="1662"/>
              <w:gridCol w:w="880"/>
              <w:gridCol w:w="1075"/>
              <w:gridCol w:w="1955"/>
              <w:gridCol w:w="9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median_tti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n_never_immobilised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mean_t120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tti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tti_dos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Time to immobilisation by dose (black = median; x = censored)</w:t>
            </w:r>
          </w:p>
          <w:bookmarkEnd w:id="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mot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Motility dose-response on mean proportion motile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8"/>
              <w:gridCol w:w="937"/>
              <w:gridCol w:w="1146"/>
              <w:gridCol w:w="1146"/>
              <w:gridCol w:w="2084"/>
              <w:gridCol w:w="114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mot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Post-hoc motility contrasts vs Negative Control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44"/>
              <w:gridCol w:w="264"/>
              <w:gridCol w:w="352"/>
              <w:gridCol w:w="616"/>
              <w:gridCol w:w="792"/>
              <w:gridCol w:w="1848"/>
              <w:gridCol w:w="70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-0.83 [-0.94,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-0.78 [-0.83,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-0.39 [-0.67, -0.06]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[-0.44, 0.00]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-0.89 [-0.94, -0.83]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-0.79 [-0.89, -0.72]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 [-0.78, -0.50]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-0.44 [-0.50, -0.33]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-0.22 [-0.22, -0.22]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-1.0000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mot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motility_trajectories_faceted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Motility trajectories by block</w:t>
            </w:r>
          </w:p>
          <w:bookmarkEnd w:id="35"/>
        </w:tc>
      </w:tr>
    </w:tbl>
    <w:bookmarkEnd w:id="36"/>
    <w:bookmarkStart w:id="72" w:name="objective-iv-in-vivo-infectivity"/>
    <w:p>
      <w:pPr>
        <w:pStyle w:val="Heading2"/>
      </w:pPr>
      <w:r>
        <w:t xml:space="preserve">9 5.4. Objective iv — in-vivo infectivity</w:t>
      </w:r>
    </w:p>
    <w:bookmarkStart w:id="56" w:name="parasitaemia"/>
    <w:p>
      <w:pPr>
        <w:pStyle w:val="Heading3"/>
      </w:pPr>
      <w:r>
        <w:t xml:space="preserve">9.1 Parasitaemia</w:t>
      </w:r>
    </w:p>
    <w:p>
      <w:pPr>
        <w:pStyle w:val="FirstParagraph"/>
      </w:pPr>
      <w:r>
        <w:t xml:space="preserve">Exploration first: peak parasitaemia falls monotonically with dose —</w:t>
      </w:r>
      <w:r>
        <w:t xml:space="preserve"> </w:t>
      </w:r>
      <w:r>
        <w:t xml:space="preserve">100 mg/ml holds mean peak at zero in both parasites with no deaths, against</w:t>
      </w:r>
      <w:r>
        <w:t xml:space="preserve"> </w:t>
      </w:r>
      <w:r>
        <w:t xml:space="preserve">peak 5 and universal mortality in Negative Controls (</w:t>
      </w:r>
      <w:hyperlink w:anchor="tbl-peak">
        <w:r>
          <w:rPr>
            <w:rStyle w:val="Hyperlink"/>
          </w:rPr>
          <w:t xml:space="preserve">Table 5</w:t>
        </w:r>
      </w:hyperlink>
      <w:r>
        <w:t xml:space="preserve">;</w:t>
      </w:r>
      <w:r>
        <w:t xml:space="preserve"> </w:t>
      </w:r>
      <w:hyperlink w:anchor="fig-peak">
        <w:r>
          <w:rPr>
            <w:rStyle w:val="Hyperlink"/>
          </w:rPr>
          <w:t xml:space="preserve">Figure 5</w:t>
        </w:r>
      </w:hyperlink>
      <w:r>
        <w:t xml:space="preserve">). Clearance days shorten and day-40 zeros accumulate with dose,</w:t>
      </w:r>
      <w:r>
        <w:t xml:space="preserve"> </w:t>
      </w:r>
      <w:r>
        <w:t xml:space="preserve">while mortality concentrates in low-dose and control groups (</w:t>
      </w:r>
      <w:hyperlink w:anchor="fig-mort">
        <w:r>
          <w:rPr>
            <w:rStyle w:val="Hyperlink"/>
          </w:rPr>
          <w:t xml:space="preserve">Figure 6</w:t>
        </w:r>
      </w:hyperlink>
      <w:r>
        <w:t xml:space="preserve">).</w:t>
      </w:r>
      <w:r>
        <w:t xml:space="preserve"> </w:t>
      </w:r>
      <w:r>
        <w:t xml:space="preserve">Trajectories (</w:t>
      </w:r>
      <w:hyperlink w:anchor="fig-para-traj">
        <w:r>
          <w:rPr>
            <w:rStyle w:val="Hyperlink"/>
          </w:rPr>
          <w:t xml:space="preserve">Figure 8</w:t>
        </w:r>
      </w:hyperlink>
      <w:r>
        <w:t xml:space="preserve">) rise from day 1, peak near days 9–14 and</w:t>
      </w:r>
      <w:r>
        <w:t xml:space="preserve"> </w:t>
      </w:r>
      <w:r>
        <w:t xml:space="preserve">resolve in survivors. Inference: cumulative burden (AUC) falls monotonically</w:t>
      </w:r>
      <w:r>
        <w:t xml:space="preserve"> </w:t>
      </w:r>
      <w:r>
        <w:t xml:space="preserve">with log-concentration (</w:t>
      </w:r>
      <w:hyperlink w:anchor="fig-auc">
        <w:r>
          <w:rPr>
            <w:rStyle w:val="Hyperlink"/>
          </w:rPr>
          <w:t xml:space="preserve">Figure 7</w:t>
        </w:r>
      </w:hyperlink>
      <w:r>
        <w:t xml:space="preserve">) — significantly for</w:t>
      </w:r>
      <w:r>
        <w:t xml:space="preserve"> </w:t>
      </w:r>
      <w:r>
        <w:rPr>
          <w:i/>
          <w:iCs/>
        </w:rPr>
        <w:t xml:space="preserve">T. evansi</w:t>
      </w:r>
      <w:r>
        <w:t xml:space="preserve"> </w:t>
      </w:r>
      <w:r>
        <w:t xml:space="preserve">(</w:t>
      </w:r>
      <w:hyperlink w:anchor="tbl-dose">
        <w:r>
          <w:rPr>
            <w:rStyle w:val="Hyperlink"/>
          </w:rPr>
          <w:t xml:space="preserve">Table 6</w:t>
        </w:r>
      </w:hyperlink>
      <w:r>
        <w:t xml:space="preserve">: Q = 14.51, p = 0.006, ρ = −0.51) and suggestively for</w:t>
      </w:r>
      <w:r>
        <w:t xml:space="preserve"> </w:t>
      </w:r>
      <w:r>
        <w:rPr>
          <w:i/>
          <w:iCs/>
        </w:rPr>
        <w:t xml:space="preserve">T. congolense</w:t>
      </w:r>
      <w:r>
        <w:t xml:space="preserve"> </w:t>
      </w:r>
      <w:r>
        <w:t xml:space="preserve">(Q = 8.52, p = 0.074, ρ = −0.42). Post-hocs (</w:t>
      </w:r>
      <w:hyperlink w:anchor="tbl-para-posthoc">
        <w:r>
          <w:rPr>
            <w:rStyle w:val="Hyperlink"/>
          </w:rPr>
          <w:t xml:space="preserve">Table 7</w:t>
        </w:r>
      </w:hyperlink>
      <w:r>
        <w:t xml:space="preserve">)</w:t>
      </w:r>
      <w:r>
        <w:t xml:space="preserve"> </w:t>
      </w:r>
      <w:r>
        <w:t xml:space="preserve">confirm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100/10/0.5 mg/ml in all eight blocks (W = 0, exact</w:t>
      </w:r>
      <w:r>
        <w:t xml:space="preserve"> </w:t>
      </w:r>
      <w:r>
        <w:t xml:space="preserve">p = 0.008, Holm 0.039; HL ≈ −50/−50/−44 AUC-days);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100 mg/ml is</w:t>
      </w:r>
      <w:r>
        <w:t xml:space="preserve"> </w:t>
      </w:r>
      <w:r>
        <w:t xml:space="preserve">suggestive only (Holm 0.071). No parasite-level AUC difference (p = 0.46).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pea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Exploratory peak, clearance and mortality per dose (means/medians over 8 blocks).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18"/>
              <w:gridCol w:w="1479"/>
              <w:gridCol w:w="783"/>
              <w:gridCol w:w="870"/>
              <w:gridCol w:w="1479"/>
              <w:gridCol w:w="783"/>
              <w:gridCol w:w="13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mean_peak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median_clear_day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pct_died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pct_day40_zero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Positive Control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100.0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eak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peak_dos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Peak LEV by dose (black = mean)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mor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mortality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Groups with any death, by dose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do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Parasitaemia dose-response on AUC (Friedman blocked by block; Spearman on log10 dose).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46"/>
              <w:gridCol w:w="672"/>
              <w:gridCol w:w="821"/>
              <w:gridCol w:w="896"/>
              <w:gridCol w:w="821"/>
              <w:gridCol w:w="1494"/>
              <w:gridCol w:w="821"/>
              <w:gridCol w:w="1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n_blocks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friedman_p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spearman_rho_pooled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spearman_p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mean_rho_perblock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8.519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-0.861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para-postho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Post-hoc parasitaemia contrasts vs Negative Control on AUC (paired Wilcoxon; Holm per parasite).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44"/>
              <w:gridCol w:w="264"/>
              <w:gridCol w:w="264"/>
              <w:gridCol w:w="616"/>
              <w:gridCol w:w="792"/>
              <w:gridCol w:w="2112"/>
              <w:gridCol w:w="5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HL [95% CI]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-29.89 [-40.97, -20.92]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-13.25 [-29.10, 2.54]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-11.93 [-24.14, 10.97]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-7.39 [-24.14, 12.96]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congolense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-6.59 [-19.57, 10.76]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-50.30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-44.13 [-74.60, -29.21]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-31.72 [-65.63, 2.18]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0.005mg/ml vs NC | T. evansi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-34.24 [-68.51, -9.40]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-0.50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uc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auc_dose_respons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Mean AUC vs log10(concentration)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para-traj"/>
          <w:p>
            <w:pPr>
              <w:pStyle w:val="Compact"/>
              <w:jc w:val="center"/>
            </w:pPr>
            <w:r>
              <w:drawing>
                <wp:inline>
                  <wp:extent cx="5334000" cy="7385538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arasitemia_trajectories_faceted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3855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Parasitaemia trajectories by block</w:t>
            </w:r>
          </w:p>
          <w:bookmarkEnd w:id="55"/>
        </w:tc>
      </w:tr>
    </w:tbl>
    <w:bookmarkEnd w:id="56"/>
    <w:bookmarkStart w:id="71" w:name="body-weight-and-pcv"/>
    <w:p>
      <w:pPr>
        <w:pStyle w:val="Heading3"/>
      </w:pPr>
      <w:r>
        <w:t xml:space="preserve">9.2 Body weight and PCV</w:t>
      </w:r>
    </w:p>
    <w:p>
      <w:pPr>
        <w:pStyle w:val="FirstParagraph"/>
      </w:pPr>
      <w:r>
        <w:t xml:space="preserve">Exploration: mean weight and PCV paths across the three timepoints run</w:t>
      </w:r>
      <w:r>
        <w:t xml:space="preserve"> </w:t>
      </w:r>
      <w:r>
        <w:t xml:space="preserve">roughly flat for both plants and parasites (</w:t>
      </w:r>
      <w:hyperlink w:anchor="fig-wp-traj">
        <w:r>
          <w:rPr>
            <w:rStyle w:val="Hyperlink"/>
          </w:rPr>
          <w:t xml:space="preserve">Figure 9</w:t>
        </w:r>
      </w:hyperlink>
      <w:r>
        <w:t xml:space="preserve">), and deltas centre</w:t>
      </w:r>
      <w:r>
        <w:t xml:space="preserve"> </w:t>
      </w:r>
      <w:r>
        <w:t xml:space="preserve">near zero with wide scatter (</w:t>
      </w:r>
      <w:hyperlink w:anchor="fig-wt">
        <w:r>
          <w:rPr>
            <w:rStyle w:val="Hyperlink"/>
          </w:rPr>
          <w:t xml:space="preserve">Figure 10</w:t>
        </w:r>
      </w:hyperlink>
      <w:r>
        <w:t xml:space="preserve">,</w:t>
      </w:r>
      <w:r>
        <w:t xml:space="preserve"> </w:t>
      </w:r>
      <w:hyperlink w:anchor="fig-pcv">
        <w:r>
          <w:rPr>
            <w:rStyle w:val="Hyperlink"/>
          </w:rPr>
          <w:t xml:space="preserve">Figure 11</w:t>
        </w:r>
      </w:hyperlink>
      <w:r>
        <w:t xml:space="preserve">). Flagged groups</w:t>
      </w:r>
      <w:r>
        <w:t xml:space="preserve"> </w:t>
      </w:r>
      <w:r>
        <w:t xml:space="preserve">(</w:t>
      </w:r>
      <w:hyperlink w:anchor="tbl-flags">
        <w:r>
          <w:rPr>
            <w:rStyle w:val="Hyperlink"/>
          </w:rPr>
          <w:t xml:space="preserve">Table 8</w:t>
        </w:r>
      </w:hyperlink>
      <w:r>
        <w:t xml:space="preserve">) are few and infection- rather than treatment-related.</w:t>
      </w:r>
      <w:r>
        <w:t xml:space="preserve"> </w:t>
      </w:r>
      <w:r>
        <w:t xml:space="preserve">Inference finds no plant or parasite signals (</w:t>
      </w:r>
      <w:hyperlink w:anchor="tbl-other">
        <w:r>
          <w:rPr>
            <w:rStyle w:val="Hyperlink"/>
          </w:rPr>
          <w:t xml:space="preserve">Table 9</w:t>
        </w:r>
      </w:hyperlink>
      <w:r>
        <w:t xml:space="preserve">: weight p = 0.31 /</w:t>
      </w:r>
      <w:r>
        <w:t xml:space="preserve"> </w:t>
      </w:r>
      <w:r>
        <w:t xml:space="preserve">0.15; PCV p = 0.74 / 0.95) — efficacy here is parasitological, not confounded</w:t>
      </w:r>
      <w:r>
        <w:t xml:space="preserve"> </w:t>
      </w:r>
      <w:r>
        <w:t xml:space="preserve">by differential toxicity.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fla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Exploratory toxicity/anaemia flag counts (descriptive).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320"/>
              <w:gridCol w:w="1540"/>
              <w:gridCol w:w="31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parasite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n_groups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anemia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evansi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 (died)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severe weight loss (&gt;=20%)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M. oleifera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toxicity signal (&gt;=10% loss)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5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wp-traj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explore_weight_pcv_traj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Mean weight and PCV across timepoints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tbl-oth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Parasite, weight and PCV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40"/>
              <w:gridCol w:w="240"/>
              <w:gridCol w:w="240"/>
              <w:gridCol w:w="560"/>
              <w:gridCol w:w="168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T. congolense vs T. evansi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5.95 [-10.69, 21.10]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304"/>
              <w:gridCol w:w="304"/>
              <w:gridCol w:w="710"/>
              <w:gridCol w:w="2030"/>
              <w:gridCol w:w="12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-0.81 [-2.29, 0.44]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-1.34 [-3.90, 0.29]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10"/>
              <w:gridCol w:w="321"/>
              <w:gridCol w:w="321"/>
              <w:gridCol w:w="749"/>
              <w:gridCol w:w="2033"/>
              <w:gridCol w:w="12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plant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[-3.70, 4.38]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pcv delta: parasite (8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[-3.62, 3.48]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</w:tbl>
          <w:bookmarkEnd w:id="6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wt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weight_delta_boxplo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Body-weight change Post−Pre (g)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pcv"/>
          <w:p>
            <w:pPr>
              <w:pStyle w:val="Compact"/>
              <w:jc w:val="center"/>
            </w:pPr>
            <w:r>
              <w:drawing>
                <wp:inline>
                  <wp:extent cx="5334000" cy="3610707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cv_delta_boxplo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107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PCV change Post−Pre (pp)</w:t>
            </w:r>
          </w:p>
          <w:bookmarkEnd w:id="70"/>
        </w:tc>
      </w:tr>
    </w:tbl>
    <w:bookmarkEnd w:id="71"/>
    <w:bookmarkEnd w:id="72"/>
    <w:bookmarkStart w:id="82" w:name="objective-v-comparative-superiority"/>
    <w:p>
      <w:pPr>
        <w:pStyle w:val="Heading2"/>
      </w:pPr>
      <w:r>
        <w:t xml:space="preserve">10 5.5. Objective v — comparative superiority</w:t>
      </w:r>
    </w:p>
    <w:p>
      <w:pPr>
        <w:pStyle w:val="FirstParagraph"/>
      </w:pPr>
      <w:r>
        <w:t xml:space="preserve">Exploration first: per-pair AUC differences (</w:t>
      </w:r>
      <w:hyperlink w:anchor="fig-forest">
        <w:r>
          <w:rPr>
            <w:rStyle w:val="Hyperlink"/>
          </w:rPr>
          <w:t xml:space="preserve">Figure 12</w:t>
        </w:r>
      </w:hyperlink>
      <w:r>
        <w:t xml:space="preserve">) scatter on both</w:t>
      </w:r>
      <w:r>
        <w:t xml:space="preserve"> </w:t>
      </w:r>
      <w:r>
        <w:t xml:space="preserve">sides of zero in both parasites — some pairs favour</w:t>
      </w:r>
      <w:r>
        <w:t xml:space="preserve"> </w:t>
      </w:r>
      <w:r>
        <w:rPr>
          <w:i/>
          <w:iCs/>
        </w:rPr>
        <w:t xml:space="preserve">A. indica</w:t>
      </w:r>
      <w:r>
        <w:t xml:space="preserve">, others</w:t>
      </w:r>
      <w:r>
        <w:t xml:space="preserve"> </w:t>
      </w:r>
      <w:r>
        <w:rPr>
          <w:i/>
          <w:iCs/>
        </w:rPr>
        <w:t xml:space="preserve">M. oleifera</w:t>
      </w:r>
      <w:r>
        <w:t xml:space="preserve">, with no pattern by part or parasite. Inference confirms the</w:t>
      </w:r>
      <w:r>
        <w:t xml:space="preserve"> </w:t>
      </w:r>
      <w:r>
        <w:t xml:space="preserve">visual: paired W = 14, exact p = 1.0, HL ≈ 0.3 with 95% CI (−14.7, +20.5),</w:t>
      </w:r>
      <w:r>
        <w:t xml:space="preserve"> </w:t>
      </w:r>
      <w:r>
        <w:t xml:space="preserve">rank-biserial −0.14 (</w:t>
      </w:r>
      <w:hyperlink w:anchor="tbl-sup">
        <w:r>
          <w:rPr>
            <w:rStyle w:val="Hyperlink"/>
          </w:rPr>
          <w:t xml:space="preserve">Table 10</w:t>
        </w:r>
      </w:hyperlink>
      <w:r>
        <w:t xml:space="preserve">); the motility cross-check agrees (p = 0.15).</w:t>
      </w:r>
      <w:r>
        <w:t xml:space="preserve"> </w:t>
      </w:r>
      <w:r>
        <w:t xml:space="preserve">With eight pairs the interval spans meaningful effects in both directions,</w:t>
      </w:r>
      <w:r>
        <w:t xml:space="preserve"> </w:t>
      </w:r>
      <w:r>
        <w:t xml:space="preserve">so the data cannot support a superiority claim — the honest conclusion is</w:t>
      </w:r>
      <w:r>
        <w:t xml:space="preserve"> </w:t>
      </w:r>
      <w:r>
        <w:t xml:space="preserve">the null, stated with its interval.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su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Plant superiority contrasts (paired Wilcoxon; 8 pairs each).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343"/>
              <w:gridCol w:w="255"/>
              <w:gridCol w:w="255"/>
              <w:gridCol w:w="255"/>
              <w:gridCol w:w="1788"/>
              <w:gridCol w:w="10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(block-mean AUC,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0.30 [-14.73, 20.54]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-0.1429</w:t>
                  </w:r>
                </w:p>
              </w:tc>
            </w:tr>
          </w:tbl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172"/>
              <w:gridCol w:w="255"/>
              <w:gridCol w:w="255"/>
              <w:gridCol w:w="596"/>
              <w:gridCol w:w="1618"/>
              <w:gridCol w:w="10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 (Holm)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HL [95% CI]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A. indica vs M. oleifera (mean %motile, 8 pairs)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 [-0.08, 0.24]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orest"/>
          <w:p>
            <w:pPr>
              <w:pStyle w:val="Compact"/>
              <w:jc w:val="center"/>
            </w:pPr>
            <w:r>
              <w:drawing>
                <wp:inline>
                  <wp:extent cx="5334000" cy="4103076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fores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03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Paired AUC difference per block with overall HL estimate</w:t>
            </w:r>
          </w:p>
          <w:bookmarkEnd w:id="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ired"/>
          <w:p>
            <w:pPr>
              <w:pStyle w:val="Compact"/>
              <w:jc w:val="center"/>
            </w:pPr>
            <w:r>
              <w:drawing>
                <wp:inline>
                  <wp:extent cx="5334000" cy="4513384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plant_paired_auc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133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Paired block-mean AUC scatter</w:t>
            </w:r>
          </w:p>
          <w:bookmarkEnd w:id="81"/>
        </w:tc>
      </w:tr>
    </w:tbl>
    <w:bookmarkEnd w:id="82"/>
    <w:bookmarkStart w:id="88" w:name="diagnostics-sensitivity-and-refits"/>
    <w:p>
      <w:pPr>
        <w:pStyle w:val="Heading2"/>
      </w:pPr>
      <w:r>
        <w:t xml:space="preserve">11 6. Diagnostics, sensitivity and refits</w:t>
      </w:r>
    </w:p>
    <w:p>
      <w:pPr>
        <w:pStyle w:val="FirstParagraph"/>
      </w:pPr>
      <w:r>
        <w:t xml:space="preserve">Three diagnostics were run. First, rank-test validity: several contrasts</w:t>
      </w:r>
      <w:r>
        <w:t xml:space="preserve"> </w:t>
      </w:r>
      <w:r>
        <w:t xml:space="preserve">contain tied absolute differences (all five</w:t>
      </w:r>
      <w:r>
        <w:t xml:space="preserve"> </w:t>
      </w:r>
      <w:r>
        <w:rPr>
          <w:i/>
          <w:iCs/>
        </w:rPr>
        <w:t xml:space="preserve">congolense</w:t>
      </w:r>
      <w:r>
        <w:t xml:space="preserve"> </w:t>
      </w:r>
      <w:r>
        <w:t xml:space="preserve">dose contrasts;</w:t>
      </w:r>
      <w:r>
        <w:t xml:space="preserve"> </w:t>
      </w:r>
      <w:r>
        <w:t xml:space="preserve">most motility contrasts) or dropped zero differences (superiority: one of</w:t>
      </w:r>
      <w:r>
        <w:t xml:space="preserve"> </w:t>
      </w:r>
      <w:r>
        <w:t xml:space="preserve">eight pairs). Because the exact Wilcoxon distribution is invalid with tied</w:t>
      </w:r>
      <w:r>
        <w:t xml:space="preserve"> </w:t>
      </w:r>
      <w:r>
        <w:t xml:space="preserve">ranks, every contrast records</w:t>
      </w:r>
      <w:r>
        <w:t xml:space="preserve"> </w:t>
      </w:r>
      <w:r>
        <w:rPr>
          <w:rStyle w:val="VerbatimChar"/>
        </w:rPr>
        <w:t xml:space="preserve">n_nonzero</w:t>
      </w:r>
      <w:r>
        <w:t xml:space="preserve">,</w:t>
      </w:r>
      <w:r>
        <w:t xml:space="preserve"> </w:t>
      </w:r>
      <w:r>
        <w:rPr>
          <w:rStyle w:val="VerbatimChar"/>
        </w:rPr>
        <w:t xml:space="preserve">n_ties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p_method</w:t>
      </w:r>
      <w:r>
        <w:t xml:space="preserve">, using</w:t>
      </w:r>
      <w:r>
        <w:t xml:space="preserve"> </w:t>
      </w:r>
      <w:r>
        <w:t xml:space="preserve">exact p-values only when clean and the continuity-corrected normal</w:t>
      </w:r>
      <w:r>
        <w:t xml:space="preserve"> </w:t>
      </w:r>
      <w:r>
        <w:t xml:space="preserve">approximation otherwise — this refit left all conclusions unchanged.</w:t>
      </w:r>
      <w:r>
        <w:t xml:space="preserve"> </w:t>
      </w:r>
      <w:r>
        <w:t xml:space="preserve">Second, paired-difference symmetry (</w:t>
      </w:r>
      <w:hyperlink w:anchor="fig-sym">
        <w:r>
          <w:rPr>
            <w:rStyle w:val="Hyperlink"/>
          </w:rPr>
          <w:t xml:space="preserve">Figure 14</w:t>
        </w:r>
      </w:hyperlink>
      <w:r>
        <w:t xml:space="preserve">):</w:t>
      </w:r>
      <w:r>
        <w:t xml:space="preserve"> </w:t>
      </w:r>
      <w:r>
        <w:rPr>
          <w:i/>
          <w:iCs/>
        </w:rPr>
        <w:t xml:space="preserve">evansi</w:t>
      </w:r>
      <w:r>
        <w:t xml:space="preserve"> </w:t>
      </w:r>
      <w:r>
        <w:t xml:space="preserve">differences sit</w:t>
      </w:r>
      <w:r>
        <w:t xml:space="preserve"> </w:t>
      </w:r>
      <w:r>
        <w:t xml:space="preserve">entirely below zero (a location shift, unproblematic); superiority</w:t>
      </w:r>
      <w:r>
        <w:t xml:space="preserve"> </w:t>
      </w:r>
      <w:r>
        <w:t xml:space="preserve">differences spread symmetrically around zero, matching its null. Third,</w:t>
      </w:r>
      <w:r>
        <w:t xml:space="preserve"> </w:t>
      </w:r>
      <w:r>
        <w:t xml:space="preserve">leave-one-block-out sensitivity (</w:t>
      </w:r>
      <w:hyperlink w:anchor="tbl-loo">
        <w:r>
          <w:rPr>
            <w:rStyle w:val="Hyperlink"/>
          </w:rPr>
          <w:t xml:space="preserve">Table 11</w:t>
        </w:r>
      </w:hyperlink>
      <w:r>
        <w:t xml:space="preserve">): no single block flips any</w:t>
      </w:r>
      <w:r>
        <w:t xml:space="preserve"> </w:t>
      </w:r>
      <w:r>
        <w:t xml:space="preserve">conclusion (evansi top doses LOO p = 0.016 throughout; superiority LOO p</w:t>
      </w:r>
      <w:r>
        <w:t xml:space="preserve"> </w:t>
      </w:r>
      <w:r>
        <w:t xml:space="preserve">0.53–1.0). Completeness is enforced structurally at build (row counts and</w:t>
      </w:r>
      <w:r>
        <w:t xml:space="preserve"> </w:t>
      </w:r>
      <w:r>
        <w:t xml:space="preserve">part levels asserted).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lo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Leave-one-block-out sensitivity (stable = no single block flips the conclusion).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21"/>
              <w:gridCol w:w="676"/>
              <w:gridCol w:w="965"/>
              <w:gridCol w:w="965"/>
              <w:gridCol w:w="1545"/>
              <w:gridCol w:w="869"/>
              <w:gridCol w:w="6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contrast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full_p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loo_p_max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loo_significant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loo_runs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10mg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evansi 0.5mg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congolense 100mg vs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plant superiority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TRUE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ym"/>
          <w:p>
            <w:pPr>
              <w:pStyle w:val="Compact"/>
              <w:jc w:val="center"/>
            </w:pPr>
            <w:r>
              <w:drawing>
                <wp:inline>
                  <wp:extent cx="5334000" cy="328246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iagnostic_paired_diffs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824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Paired differences: symmetry check (red = median)</w:t>
            </w:r>
          </w:p>
          <w:bookmarkEnd w:id="87"/>
        </w:tc>
      </w:tr>
    </w:tbl>
    <w:bookmarkEnd w:id="88"/>
    <w:bookmarkStart w:id="89" w:name="limitations"/>
    <w:p>
      <w:pPr>
        <w:pStyle w:val="Heading2"/>
      </w:pPr>
      <w:r>
        <w:t xml:space="preserve">12 7. Limitations</w:t>
      </w:r>
    </w:p>
    <w:p>
      <w:pPr>
        <w:pStyle w:val="FirstParagraph"/>
      </w:pPr>
      <w:r>
        <w:t xml:space="preserve">Group means of n = 3 mice erase within-group variance, so inference rests on</w:t>
      </w:r>
      <w:r>
        <w:t xml:space="preserve"> </w:t>
      </w:r>
      <w:r>
        <w:t xml:space="preserve">N = 16 blocks — power is low, intervals wide, description carries the</w:t>
      </w:r>
      <w:r>
        <w:t xml:space="preserve"> </w:t>
      </w:r>
      <w:r>
        <w:t xml:space="preserve">weight. Control identities/doses are unknown; Positive Control is a validity</w:t>
      </w:r>
      <w:r>
        <w:t xml:space="preserve"> </w:t>
      </w:r>
      <w:r>
        <w:t xml:space="preserve">reference only. Death-censored AUC flatters early-death groups, hence AUC is</w:t>
      </w:r>
      <w:r>
        <w:t xml:space="preserve"> </w:t>
      </w:r>
      <w:r>
        <w:t xml:space="preserve">always read with mortality. NA = death is conventional, worth confirming</w:t>
      </w:r>
      <w:r>
        <w:t xml:space="preserve"> </w:t>
      </w:r>
      <w:r>
        <w:t xml:space="preserve">against animal records. All results are exploratory, not confirmatory.</w:t>
      </w:r>
    </w:p>
    <w:bookmarkEnd w:id="89"/>
    <w:bookmarkStart w:id="90" w:name="references-methods"/>
    <w:p>
      <w:pPr>
        <w:pStyle w:val="Heading2"/>
      </w:pPr>
      <w:r>
        <w:t xml:space="preserve">13 8. References (methods)</w:t>
      </w:r>
    </w:p>
    <w:p>
      <w:pPr>
        <w:pStyle w:val="Compact"/>
        <w:numPr>
          <w:ilvl w:val="0"/>
          <w:numId w:val="1001"/>
        </w:numPr>
      </w:pPr>
      <w:r>
        <w:t xml:space="preserve">Conover, W.J. (1999).</w:t>
      </w:r>
      <w:r>
        <w:t xml:space="preserve"> </w:t>
      </w:r>
      <w:r>
        <w:rPr>
          <w:i/>
          <w:iCs/>
        </w:rPr>
        <w:t xml:space="preserve">Practical Nonparametric Statistics</w:t>
      </w:r>
      <w:r>
        <w:t xml:space="preserve"> </w:t>
      </w:r>
      <w:r>
        <w:t xml:space="preserve">(3rd ed.). Wiley.</w:t>
      </w:r>
    </w:p>
    <w:p>
      <w:pPr>
        <w:pStyle w:val="Compact"/>
        <w:numPr>
          <w:ilvl w:val="0"/>
          <w:numId w:val="1001"/>
        </w:numPr>
      </w:pPr>
      <w:r>
        <w:t xml:space="preserve">Mann, H.B. &amp; Whitney, D.R. (1947).</w:t>
      </w:r>
      <w:r>
        <w:t xml:space="preserve"> </w:t>
      </w:r>
      <w:r>
        <w:rPr>
          <w:i/>
          <w:iCs/>
        </w:rPr>
        <w:t xml:space="preserve">Ann. Math. Statist.</w:t>
      </w:r>
      <w:r>
        <w:t xml:space="preserve"> </w:t>
      </w:r>
      <w:r>
        <w:t xml:space="preserve">18(1): 50–60.</w:t>
      </w:r>
    </w:p>
    <w:p>
      <w:pPr>
        <w:pStyle w:val="Compact"/>
        <w:numPr>
          <w:ilvl w:val="0"/>
          <w:numId w:val="1001"/>
        </w:numPr>
      </w:pPr>
      <w:r>
        <w:t xml:space="preserve">Wilcoxon, F. (1945).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1(1): 86–89.</w:t>
      </w:r>
    </w:p>
    <w:p>
      <w:pPr>
        <w:pStyle w:val="Compact"/>
        <w:numPr>
          <w:ilvl w:val="0"/>
          <w:numId w:val="1001"/>
        </w:numPr>
      </w:pPr>
      <w:r>
        <w:t xml:space="preserve">Cliff, N. (1993, 1996); Vargha, A. &amp; Delaney, H.D. (2000).</w:t>
      </w:r>
      <w:r>
        <w:t xml:space="preserve"> </w:t>
      </w:r>
      <w:r>
        <w:rPr>
          <w:i/>
          <w:iCs/>
        </w:rPr>
        <w:t xml:space="preserve">J. Educ. Behav. Stat.</w:t>
      </w:r>
      <w:r>
        <w:t xml:space="preserve"> </w:t>
      </w:r>
      <w:r>
        <w:t xml:space="preserve">25(2): 101–133.</w:t>
      </w:r>
    </w:p>
    <w:p>
      <w:pPr>
        <w:pStyle w:val="Compact"/>
        <w:numPr>
          <w:ilvl w:val="0"/>
          <w:numId w:val="1001"/>
        </w:numPr>
      </w:pPr>
      <w:r>
        <w:t xml:space="preserve">Spearman, C. (1904).</w:t>
      </w:r>
      <w:r>
        <w:t xml:space="preserve"> </w:t>
      </w:r>
      <w:r>
        <w:rPr>
          <w:i/>
          <w:iCs/>
        </w:rPr>
        <w:t xml:space="preserve">Am. J. Psychol.</w:t>
      </w:r>
      <w:r>
        <w:t xml:space="preserve"> </w:t>
      </w:r>
      <w:r>
        <w:t xml:space="preserve">15(1): 72–85.</w:t>
      </w:r>
    </w:p>
    <w:p>
      <w:pPr>
        <w:pStyle w:val="Compact"/>
        <w:numPr>
          <w:ilvl w:val="0"/>
          <w:numId w:val="1001"/>
        </w:numPr>
      </w:pPr>
      <w:r>
        <w:t xml:space="preserve">Jonckheere, A. (1954); Terpstra, J.T. (1952) — ordered alternatives (blocked Friedman reported instead, §4).</w:t>
      </w:r>
    </w:p>
    <w:p>
      <w:pPr>
        <w:pStyle w:val="Compact"/>
        <w:numPr>
          <w:ilvl w:val="0"/>
          <w:numId w:val="1001"/>
        </w:numPr>
      </w:pPr>
      <w:r>
        <w:t xml:space="preserve">Noyes, H. et al. (2009).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4(4): e5170.</w:t>
      </w:r>
    </w:p>
    <w:p>
      <w:pPr>
        <w:pStyle w:val="Compact"/>
        <w:numPr>
          <w:ilvl w:val="0"/>
          <w:numId w:val="1001"/>
        </w:numPr>
      </w:pPr>
      <w:r>
        <w:t xml:space="preserve">Naessens, J. et al. (2005).</w:t>
      </w:r>
      <w:r>
        <w:t xml:space="preserve"> </w:t>
      </w:r>
      <w:r>
        <w:rPr>
          <w:i/>
          <w:iCs/>
        </w:rPr>
        <w:t xml:space="preserve">Clin. Exp. Immunol.</w:t>
      </w:r>
      <w:r>
        <w:t xml:space="preserve"> </w:t>
      </w:r>
      <w:r>
        <w:t xml:space="preserve">139: 449–456.</w:t>
      </w:r>
    </w:p>
    <w:p>
      <w:pPr>
        <w:pStyle w:val="Compact"/>
        <w:numPr>
          <w:ilvl w:val="0"/>
          <w:numId w:val="1001"/>
        </w:numPr>
      </w:pPr>
      <w:r>
        <w:t xml:space="preserve">Gitonga, P.K. et al. (2017).</w:t>
      </w:r>
      <w:r>
        <w:t xml:space="preserve"> </w:t>
      </w:r>
      <w:r>
        <w:rPr>
          <w:i/>
          <w:iCs/>
        </w:rPr>
        <w:t xml:space="preserve">Onderstepoort J. Vet. Res.</w:t>
      </w:r>
      <w:r>
        <w:t xml:space="preserve"> </w:t>
      </w:r>
      <w:r>
        <w:t xml:space="preserve">84(1): a1412.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8" w:val="single"/>
        <w:bottom w:color="000000" w:space="0" w:sz="8" w:val="single"/>
        <w:left w:color="auto" w:space="0" w:sz="0" w:val="nil"/>
        <w:right w:color="auto" w:space="0" w:sz="0" w:val="nil"/>
        <w:insideH w:color="auto" w:space="0" w:sz="0" w:val="nil"/>
        <w:insideV w:color="auto" w:space="0" w:sz="0" w:val="nil"/>
      </w:tblBorders>
    </w:tblPr>
    <w:tblStylePr w:type="firstRow">
      <w:tcPr>
        <w:tcBorders>
          <w:bottom w:val="single"/>
        </w:tcBorders>
        <w:vAlign w:val="bottom"/>
      </w:tcPr>
      <w:rPr>
        <w:b/>
      </w:rPr>
      <w:trPr/>
      <w:pBdr>
        <w:bottom w:color="000000" w:space="1" w:sz="8" w:val="single"/>
      </w:pBd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hAnsi="Times New Roman"/>
      <w:sz w:val="24"/>
    </w:r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84" Target="media/rId84.png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16" Target="media/rId16.png" /><Relationship Type="http://schemas.openxmlformats.org/officeDocument/2006/relationships/image" Id="rId26" Target="media/rId26.png" /><Relationship Type="http://schemas.openxmlformats.org/officeDocument/2006/relationships/image" Id="rId58" Target="media/rId58.png" /><Relationship Type="http://schemas.openxmlformats.org/officeDocument/2006/relationships/image" Id="rId32" Target="media/rId32.png" /><Relationship Type="http://schemas.openxmlformats.org/officeDocument/2006/relationships/image" Id="rId52" Target="media/rId52.png" /><Relationship Type="http://schemas.openxmlformats.org/officeDocument/2006/relationships/image" Id="rId67" Target="media/rId67.png" /><Relationship Type="http://schemas.openxmlformats.org/officeDocument/2006/relationships/image" Id="rId20" Target="media/rId20.png" /><Relationship Type="http://schemas.openxmlformats.org/officeDocument/2006/relationships/image" Id="rId74" Target="media/rId74.png" /><Relationship Type="http://schemas.openxmlformats.org/officeDocument/2006/relationships/image" Id="rId78" Target="media/rId78.png" /><Relationship Type="http://schemas.openxmlformats.org/officeDocument/2006/relationships/image" Id="rId63" Target="media/rId6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Comparative Anti-Trypanosomal Activity of Azadirachta indica and Moringa oleifera against Trypanosoma congolense and T. evansi — Statistical Report</dc:title>
  <dc:creator/>
  <cp:keywords/>
  <dcterms:created xsi:type="dcterms:W3CDTF">2026-09-11T01:50:27Z</dcterms:created>
  <dcterms:modified xsi:type="dcterms:W3CDTF">2026-09-11T01:50:27Z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of">
    <vt:lpwstr>True</vt:lpwstr>
  </property>
  <property fmtid="{D5CDD505-2E9C-101B-9397-08002B2CF9AE}" pid="10" name="lot">
    <vt:lpwstr>True</vt:lpwstr>
  </property>
  <property fmtid="{D5CDD505-2E9C-101B-9397-08002B2CF9AE}" pid="11" name="toc-title">
    <vt:lpwstr>Table of contents</vt:lpwstr>
  </property>
</Properties>
</file>