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Comparative Anti-Trypanosomal Activity of Azadirachta indica and Moringa oleifera against Trypanosoma congolense and T. evansi — Statistical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2"/>
      </w:pPr>
      <w:r>
        <w:t xml:space="preserve">1 Abstract</w:t>
      </w:r>
    </w:p>
    <w:p>
      <w:pPr>
        <w:pStyle w:val="FirstParagraph"/>
      </w:pPr>
      <w:r>
        <w:t xml:space="preserve">Methanolic extracts of</w:t>
      </w:r>
      <w:r>
        <w:t xml:space="preserve"> </w:t>
      </w:r>
      <w:r>
        <w:rPr>
          <w:i/>
          <w:iCs/>
        </w:rPr>
        <w:t xml:space="preserve">Azadirachta indica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Moringa oleifera</w:t>
      </w:r>
      <w:r>
        <w:t xml:space="preserve"> </w:t>
      </w:r>
      <w:r>
        <w:t xml:space="preserve">(leaves,</w:t>
      </w:r>
      <w:r>
        <w:t xml:space="preserve"> </w:t>
      </w:r>
      <w:r>
        <w:t xml:space="preserve">stem bark, roots, seeds) were tested against</w:t>
      </w:r>
      <w:r>
        <w:t xml:space="preserve"> </w:t>
      </w:r>
      <w:r>
        <w:rPr>
          <w:i/>
          <w:iCs/>
        </w:rPr>
        <w:t xml:space="preserve">Trypanosoma congolense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in motility assays and in albino mice (N = 16 plant × part ×</w:t>
      </w:r>
      <w:r>
        <w:t xml:space="preserve"> </w:t>
      </w:r>
      <w:r>
        <w:t xml:space="preserve">parasite blocks; group means of n = 3 mice). Both parasites responded in a</w:t>
      </w:r>
      <w:r>
        <w:t xml:space="preserve"> </w:t>
      </w:r>
      <w:r>
        <w:t xml:space="preserve">monotonic, concentration-dependent manner.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responded</w:t>
      </w:r>
      <w:r>
        <w:t xml:space="preserve"> </w:t>
      </w:r>
      <w:r>
        <w:t xml:space="preserve">significantly (parasitaemia Friedman p = 0.006; 100, 10 and 0.5 mg/ml each</w:t>
      </w:r>
      <w:r>
        <w:t xml:space="preserve"> </w:t>
      </w:r>
      <w:r>
        <w:t xml:space="preserve">superior to control, Holm 0.039);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responded suggestively</w:t>
      </w:r>
      <w:r>
        <w:t xml:space="preserve"> </w:t>
      </w:r>
      <w:r>
        <w:t xml:space="preserve">(Friedman p = 0.074; 100 mg/ml Holm 0.071). At 100 mg/ml, mean peak</w:t>
      </w:r>
      <w:r>
        <w:t xml:space="preserve"> </w:t>
      </w:r>
      <w:r>
        <w:t xml:space="preserve">parasitaemia was zero with no mortality in either parasite, against peak</w:t>
      </w:r>
      <w:r>
        <w:t xml:space="preserve"> </w:t>
      </w:r>
      <w:r>
        <w:t xml:space="preserve">LEV 5 with universal mortality in Negative Controls. The two plants were</w:t>
      </w:r>
      <w:r>
        <w:t xml:space="preserve"> </w:t>
      </w:r>
      <w:r>
        <w:t xml:space="preserve">indistinguishable (paired p = 1.0; HL 0.3, 95% CI −14.7 to 20.5). Inference</w:t>
      </w:r>
      <w:r>
        <w:t xml:space="preserve"> </w:t>
      </w:r>
      <w:r>
        <w:t xml:space="preserve">is block-level and rank-based throughout, and all headline claims withstood</w:t>
      </w:r>
      <w:r>
        <w:t xml:space="preserve"> </w:t>
      </w:r>
      <w:r>
        <w:t xml:space="preserve">leave-one-block-out sensitivity analysis.</w:t>
      </w:r>
    </w:p>
    <w:bookmarkEnd w:id="9"/>
    <w:bookmarkStart w:id="10" w:name="aim-and-structure-of-this-report"/>
    <w:p>
      <w:pPr>
        <w:pStyle w:val="Heading2"/>
      </w:pPr>
      <w:r>
        <w:t xml:space="preserve">2 1. Aim and structure of this report</w:t>
      </w:r>
    </w:p>
    <w:p>
      <w:pPr>
        <w:pStyle w:val="FirstParagraph"/>
      </w:pPr>
      <w:r>
        <w:t xml:space="preserve">The aim of the study is to compare the anti-trypanosomal activity of</w:t>
      </w:r>
      <w:r>
        <w:t xml:space="preserve"> </w:t>
      </w:r>
      <w:r>
        <w:t xml:space="preserve">methanolic extracts of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(leaves, stem bark,</w:t>
      </w:r>
      <w:r>
        <w:t xml:space="preserve"> </w:t>
      </w:r>
      <w:r>
        <w:t xml:space="preserve">roots, seeds) against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(thesis Section 1.8.1). This</w:t>
      </w:r>
      <w:r>
        <w:t xml:space="preserve"> </w:t>
      </w:r>
      <w:r>
        <w:t xml:space="preserve">report presents the statistical analysis for specific objectives ii–v</w:t>
      </w:r>
      <w:r>
        <w:t xml:space="preserve"> </w:t>
      </w:r>
      <w:r>
        <w:t xml:space="preserve">(Section 1.8.2): phytochemical characterisation (Section 5.2), the in-vitro motility assay</w:t>
      </w:r>
      <w:r>
        <w:t xml:space="preserve"> </w:t>
      </w:r>
      <w:r>
        <w:t xml:space="preserve">(Section 5.3), in-vivo infectivity (Section 5.4) and the superiority assessment (Section 5.5),</w:t>
      </w:r>
      <w:r>
        <w:t xml:space="preserve"> </w:t>
      </w:r>
      <w:r>
        <w:t xml:space="preserve">followed by diagnostics (Section 6), an integrative discussion against the recent</w:t>
      </w:r>
      <w:r>
        <w:t xml:space="preserve"> </w:t>
      </w:r>
      <w:r>
        <w:t xml:space="preserve">literature (Section 7) and limitations (Section 8). Objective i (extraction) is a</w:t>
      </w:r>
      <w:r>
        <w:t xml:space="preserve"> </w:t>
      </w:r>
      <w:r>
        <w:t xml:space="preserve">laboratory procedure without recorded replicates and carries no statistical</w:t>
      </w:r>
      <w:r>
        <w:t xml:space="preserve"> </w:t>
      </w:r>
      <w:r>
        <w:t xml:space="preserve">component (Section 5.1).</w:t>
      </w:r>
    </w:p>
    <w:bookmarkEnd w:id="10"/>
    <w:bookmarkStart w:id="11" w:name="design-and-analytical-approach"/>
    <w:p>
      <w:pPr>
        <w:pStyle w:val="Heading2"/>
      </w:pPr>
      <w:r>
        <w:t xml:space="preserve">3 2. Design and analytical approach</w:t>
      </w:r>
    </w:p>
    <w:p>
      <w:pPr>
        <w:pStyle w:val="FirstParagraph"/>
      </w:pPr>
      <w:r>
        <w:t xml:space="preserve">The source data are group means of three mice per group. Consequently, each</w:t>
      </w:r>
      <w:r>
        <w:t xml:space="preserve"> </w:t>
      </w:r>
      <w:r>
        <w:t xml:space="preserve">treatment group within a plant × part × parasite block is a single</w:t>
      </w:r>
      <w:r>
        <w:t xml:space="preserve"> </w:t>
      </w:r>
      <w:r>
        <w:t xml:space="preserve">observation, and the block (N = 16; eight per plant and per parasite) is the</w:t>
      </w:r>
      <w:r>
        <w:t xml:space="preserve"> </w:t>
      </w:r>
      <w:r>
        <w:t xml:space="preserve">unit of analysis. Plant effects are estimated from eight part × parasite</w:t>
      </w:r>
      <w:r>
        <w:t xml:space="preserve"> </w:t>
      </w:r>
      <w:r>
        <w:t xml:space="preserve">pairs; parasite effects from eight plant × part pairs. Controls are reported</w:t>
      </w:r>
      <w:r>
        <w:t xml:space="preserve"> </w:t>
      </w:r>
      <w:r>
        <w:t xml:space="preserve">as labelled in the source, their identities and doses being unstated, so the</w:t>
      </w:r>
      <w:r>
        <w:t xml:space="preserve"> </w:t>
      </w:r>
      <w:r>
        <w:t xml:space="preserve">Positive Control functions as an assay-validity reference rather than a</w:t>
      </w:r>
      <w:r>
        <w:t xml:space="preserve"> </w:t>
      </w:r>
      <w:r>
        <w:t xml:space="preserve">comparator. With at most eight pairs per test, the design has low power by</w:t>
      </w:r>
      <w:r>
        <w:t xml:space="preserve"> </w:t>
      </w:r>
      <w:r>
        <w:t xml:space="preserve">construction; effect sizes with confidence intervals are therefore reported</w:t>
      </w:r>
      <w:r>
        <w:t xml:space="preserve"> </w:t>
      </w:r>
      <w:r>
        <w:t xml:space="preserve">throughout and p-values treated as supplementary.</w:t>
      </w:r>
    </w:p>
    <w:bookmarkEnd w:id="11"/>
    <w:bookmarkStart w:id="12" w:name="endpoints"/>
    <w:p>
      <w:pPr>
        <w:pStyle w:val="Heading2"/>
      </w:pPr>
      <w:r>
        <w:t xml:space="preserve">4 3. Endpoints</w:t>
      </w:r>
    </w:p>
    <w:p>
      <w:pPr>
        <w:pStyle w:val="FirstParagraph"/>
      </w:pPr>
      <w:r>
        <w:t xml:space="preserve">The primary parasitaemia endpoint is the death-censored AUC (trapezoidal sum</w:t>
      </w:r>
      <w:r>
        <w:t xml:space="preserve"> </w:t>
      </w:r>
      <w:r>
        <w:t xml:space="preserve">over observed days), interpreted strictly alongside mortality; peak LEV,</w:t>
      </w:r>
      <w:r>
        <w:t xml:space="preserve"> </w:t>
      </w:r>
      <w:r>
        <w:t xml:space="preserve">clearance day and day-40 status are supporting. Day-40 LEV alone is</w:t>
      </w:r>
      <w:r>
        <w:t xml:space="preserve"> </w:t>
      </w:r>
      <w:r>
        <w:t xml:space="preserve">uninformative (no group positive at day 40 against ~30% positivity at days</w:t>
      </w:r>
      <w:r>
        <w:t xml:space="preserve"> </w:t>
      </w:r>
      <w:r>
        <w:t xml:space="preserve">9–14). Motility is summarised as time-to-immobilisation, t120 motility and</w:t>
      </w:r>
      <w:r>
        <w:t xml:space="preserve"> </w:t>
      </w:r>
      <w:r>
        <w:t xml:space="preserve">mean proportion motile (source key:</w:t>
      </w:r>
      <w:r>
        <w:t xml:space="preserve"> </w:t>
      </w:r>
      <w:r>
        <w:rPr>
          <w:rStyle w:val="VerbatimChar"/>
        </w:rPr>
        <w:t xml:space="preserve">+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− No motility</w:t>
      </w:r>
      <w:r>
        <w:t xml:space="preserve">; the two</w:t>
      </w:r>
      <w:r>
        <w:t xml:space="preserve"> </w:t>
      </w:r>
      <w:r>
        <w:rPr>
          <w:rStyle w:val="VerbatimChar"/>
        </w:rPr>
        <w:t xml:space="preserve">+-</w:t>
      </w:r>
      <w:r>
        <w:t xml:space="preserve"> </w:t>
      </w:r>
      <w:r>
        <w:t xml:space="preserve">cells set to NA). Weight and PCV enter as Post-minus-Pre differences</w:t>
      </w:r>
      <w:r>
        <w:t xml:space="preserve"> </w:t>
      </w:r>
      <w:r>
        <w:t xml:space="preserve">with literature-based anaemia and weight-loss flags. LEV readings above the</w:t>
      </w:r>
      <w:r>
        <w:t xml:space="preserve"> </w:t>
      </w:r>
      <w:r>
        <w:t xml:space="preserve">0–5 scale (42 cells) were capped at 5 with raw values preserved and flagged;</w:t>
      </w:r>
      <w:r>
        <w:t xml:space="preserve"> </w:t>
      </w:r>
      <w:r>
        <w:t xml:space="preserve">missing in-vivo values were taken as deaths (an adopted convention, never</w:t>
      </w:r>
      <w:r>
        <w:t xml:space="preserve"> </w:t>
      </w:r>
      <w:r>
        <w:t xml:space="preserve">imputed).</w:t>
      </w:r>
    </w:p>
    <w:bookmarkEnd w:id="12"/>
    <w:bookmarkStart w:id="14" w:name="statistical-methods"/>
    <w:p>
      <w:pPr>
        <w:pStyle w:val="Heading2"/>
      </w:pPr>
      <w:r>
        <w:t xml:space="preserve">5 4. Statistical methods</w:t>
      </w:r>
    </w:p>
    <w:p>
      <w:pPr>
        <w:pStyle w:val="FirstParagraph"/>
      </w:pPr>
      <w:r>
        <w:t xml:space="preserve">All inference is rank-based: Friedman tests blocked by block for ordered dose</w:t>
      </w:r>
      <w:r>
        <w:t xml:space="preserve"> </w:t>
      </w:r>
      <w:r>
        <w:t xml:space="preserve">trends with pooled Spearman correlations on log10 dose, and paired Wilcoxon</w:t>
      </w:r>
      <w:r>
        <w:t xml:space="preserve"> </w:t>
      </w:r>
      <w:r>
        <w:t xml:space="preserve">signed-rank tests for dose-versus-control post-hoc families (Holm-adjusted</w:t>
      </w:r>
      <w:r>
        <w:t xml:space="preserve"> </w:t>
      </w:r>
      <w:r>
        <w:t xml:space="preserve">per parasite) and for plant and parasite contrasts, each accompanied by the</w:t>
      </w:r>
      <w:r>
        <w:t xml:space="preserve"> </w:t>
      </w:r>
      <w:r>
        <w:t xml:space="preserve">matched-pairs rank-biserial effect (|r| ≥ 0.11/0.28/0.43 as small/medium/</w:t>
      </w:r>
      <w:r>
        <w:t xml:space="preserve"> </w:t>
      </w:r>
      <w:r>
        <w:t xml:space="preserve">large) and the Hodges–Lehmann median difference with 95% confidence</w:t>
      </w:r>
      <w:r>
        <w:t xml:space="preserve"> </w:t>
      </w:r>
      <w:r>
        <w:t xml:space="preserve">interval. Exact p-values are used wherever the data permit; where tied ranks</w:t>
      </w:r>
      <w:r>
        <w:t xml:space="preserve"> </w:t>
      </w:r>
      <w:r>
        <w:t xml:space="preserve">or zero differences occur, the continuity-corrected normal approximation is</w:t>
      </w:r>
      <w:r>
        <w:t xml:space="preserve"> </w:t>
      </w:r>
      <w:r>
        <w:t xml:space="preserve">substituted and the substitution recorded per contrast (Section 6). Per-block trend</w:t>
      </w:r>
      <w:r>
        <w:t xml:space="preserve"> </w:t>
      </w:r>
      <w:r>
        <w:t xml:space="preserve">tests at n = 1 lack power, so only the blocked tests are inferential.</w:t>
      </w:r>
      <w:r>
        <w:t xml:space="preserve"> </w:t>
      </w:r>
      <w:r>
        <w:t xml:space="preserve">Computations are in</w:t>
      </w:r>
      <w:r>
        <w:t xml:space="preserve"> </w:t>
      </w:r>
      <w:r>
        <w:rPr>
          <w:rStyle w:val="VerbatimChar"/>
        </w:rPr>
        <w:t xml:space="preserve">analysis/R/02_analysis.R</w:t>
      </w:r>
      <w:r>
        <w:t xml:space="preserve">; no machine learning was used.</w:t>
      </w:r>
      <w:r>
        <w:t xml:space="preserve"> </w:t>
      </w:r>
      <w:r>
        <w:t xml:space="preserve">Analysis variables are specified exactly as named in code and data files in</w:t>
      </w:r>
      <w:r>
        <w:t xml:space="preserve"> </w:t>
      </w:r>
      <w:r>
        <w:t xml:space="preserve">Table 1; Results and Discussion use proper display names.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v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Analysis variables as specified in code and data files.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46"/>
              <w:gridCol w:w="3443"/>
              <w:gridCol w:w="30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Death-censored trapezoidal AUC over observed 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peak_lev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Maximum LEV within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clear_day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 day with LEV &gt; 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day40_lev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 at day 40 (0 or missing)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tti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time with motility 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endpoints_motility.csv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mot120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Motility at 120 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endpoints_motility.csv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mean_motile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proportion motile over 0-120 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endpoints_motility.csv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Post-Infection minus Pre-Infection (weight, PCV)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endpoints_weight.csv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endpoints_pcv.csv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present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Phytochemical presence (TRUE/FALSE)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phytochemical.csv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concentration_mgml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 in mg/ml (NA for controls)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motility.csv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parasitemia.csv</w:t>
                  </w:r>
                </w:p>
              </w:tc>
            </w:tr>
          </w:tbl>
          <w:bookmarkEnd w:id="13"/>
          <w:p/>
        </w:tc>
      </w:tr>
    </w:tbl>
    <w:bookmarkEnd w:id="14"/>
    <w:bookmarkStart w:id="15" w:name="objective-i-methanolic-extraction"/>
    <w:p>
      <w:pPr>
        <w:pStyle w:val="Heading2"/>
      </w:pPr>
      <w:r>
        <w:t xml:space="preserve">6 5.1. Objective i — methanolic extraction</w:t>
      </w:r>
    </w:p>
    <w:p>
      <w:pPr>
        <w:pStyle w:val="FirstParagraph"/>
      </w:pPr>
      <w:r>
        <w:t xml:space="preserve">No yields or replicates were recorded for the extraction step, so objective i</w:t>
      </w:r>
      <w:r>
        <w:t xml:space="preserve"> </w:t>
      </w:r>
      <w:r>
        <w:t xml:space="preserve">contributes no data to the analysis and is noted here only for completeness.</w:t>
      </w:r>
    </w:p>
    <w:bookmarkEnd w:id="15"/>
    <w:bookmarkStart w:id="25" w:name="objective-ii-phytochemical-contents"/>
    <w:p>
      <w:pPr>
        <w:pStyle w:val="Heading2"/>
      </w:pPr>
      <w:r>
        <w:t xml:space="preserve">7 5.2. Objective ii — phytochemical contents</w:t>
      </w:r>
    </w:p>
    <w:p>
      <w:pPr>
        <w:pStyle w:val="FirstParagraph"/>
      </w:pPr>
      <w:r>
        <w:t xml:space="preserve">The screening panel resolved eight of twelve compound classes in at least one</w:t>
      </w:r>
      <w:r>
        <w:t xml:space="preserve"> </w:t>
      </w:r>
      <w:r>
        <w:t xml:space="preserve">extract, distributed along a part axis rather than a plant axis. Leaves were</w:t>
      </w:r>
      <w:r>
        <w:t xml:space="preserve"> </w:t>
      </w:r>
      <w:r>
        <w:t xml:space="preserve">the richest fraction in both species (6 of 12 classes each), stem bark and</w:t>
      </w:r>
      <w:r>
        <w:t xml:space="preserve"> </w:t>
      </w:r>
      <w:r>
        <w:t xml:space="preserve">roots the sparsest (3–4), and seeds intermediate (4–5;</w:t>
      </w:r>
      <w:r>
        <w:t xml:space="preserve"> </w:t>
      </w:r>
      <w:hyperlink w:anchor="tbl-phyto">
        <w:r>
          <w:rPr>
            <w:rStyle w:val="Hyperlink"/>
          </w:rPr>
          <w:t xml:space="preserve">Table 2</w:t>
        </w:r>
      </w:hyperlink>
      <w:r>
        <w:t xml:space="preserve">,</w:t>
      </w:r>
      <w:r>
        <w:t xml:space="preserve"> </w:t>
      </w:r>
      <w:hyperlink w:anchor="fig-rich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Saponins and carbohydrates were ubiquitous (8 of 8 combinations) while</w:t>
      </w:r>
      <w:r>
        <w:t xml:space="preserve"> </w:t>
      </w:r>
      <w:r>
        <w:t xml:space="preserve">anthraquinones, phlobatannins, oxalates and phytates were uniformly absent,</w:t>
      </w:r>
      <w:r>
        <w:t xml:space="preserve"> </w:t>
      </w:r>
      <w:r>
        <w:t xml:space="preserve">so neither group discriminates the plants; tannins showed the sharpest part</w:t>
      </w:r>
      <w:r>
        <w:t xml:space="preserve"> </w:t>
      </w:r>
      <w:r>
        <w:t xml:space="preserve">pattern, present everywhere except seeds in both species (</w:t>
      </w:r>
      <w:hyperlink w:anchor="fig-phyto-hm">
        <w:r>
          <w:rPr>
            <w:rStyle w:val="Hyperlink"/>
          </w:rPr>
          <w:t xml:space="preserve">Figure 2</w:t>
        </w:r>
      </w:hyperlink>
      <w:r>
        <w:t xml:space="preserve">). The</w:t>
      </w:r>
      <w:r>
        <w:t xml:space="preserve"> </w:t>
      </w:r>
      <w:r>
        <w:t xml:space="preserve">few differentiating classes were part-specific rather than species-specific:</w:t>
      </w:r>
      <w:r>
        <w:t xml:space="preserve"> </w:t>
      </w:r>
      <w:r>
        <w:t xml:space="preserve">steroids (only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leaves and seeds), terpenoids (only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stem bark), and alkaloids, flavonoids and glucosides in asymmetric but</w:t>
      </w:r>
      <w:r>
        <w:t xml:space="preserve"> </w:t>
      </w:r>
      <w:r>
        <w:t xml:space="preserve">overlapping distributions — the two leaf profiles share six classes apiece</w:t>
      </w:r>
      <w:r>
        <w:t xml:space="preserve"> </w:t>
      </w:r>
      <w:r>
        <w:t xml:space="preserve">with only the steroid/glucoside entries swapped. With eight combinations,</w:t>
      </w:r>
      <w:r>
        <w:t xml:space="preserve"> </w:t>
      </w:r>
      <w:r>
        <w:t xml:space="preserve">these data admit description only; compound–efficacy overlays are tabulated</w:t>
      </w:r>
      <w:r>
        <w:t xml:space="preserve"> </w:t>
      </w:r>
      <w:r>
        <w:t xml:space="preserve">without tests. The substantive point for Section 7 is the extent of chemical overlap</w:t>
      </w:r>
      <w:r>
        <w:t xml:space="preserve"> </w:t>
      </w:r>
      <w:r>
        <w:t xml:space="preserve">between the species, which leaves little phytochemical basis for expecting</w:t>
      </w:r>
      <w:r>
        <w:t xml:space="preserve"> </w:t>
      </w:r>
      <w:r>
        <w:t xml:space="preserve">divergent efficacy.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phyt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Phytochemical richness per plant and part (descriptive).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Present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Absent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seeds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stem bark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seeds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stem bark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rich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richness_bar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Richness: classes present of 12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phyto-hm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hytochemical_heatma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Phytochemical presence by plant and part</w:t>
            </w:r>
          </w:p>
          <w:bookmarkEnd w:id="24"/>
        </w:tc>
      </w:tr>
    </w:tbl>
    <w:bookmarkEnd w:id="25"/>
    <w:bookmarkStart w:id="37" w:name="objective-iii-in-vitro-motility"/>
    <w:p>
      <w:pPr>
        <w:pStyle w:val="Heading2"/>
      </w:pPr>
      <w:r>
        <w:t xml:space="preserve">8 5.3. Objective iii — in-vitro motility</w:t>
      </w:r>
    </w:p>
    <w:p>
      <w:pPr>
        <w:pStyle w:val="FirstParagraph"/>
      </w:pPr>
      <w:r>
        <w:t xml:space="preserve">Both parasites were immobilised in strict concentration order. Mean motility</w:t>
      </w:r>
      <w:r>
        <w:t xml:space="preserve"> </w:t>
      </w:r>
      <w:r>
        <w:t xml:space="preserve">curves fan out cleanly by dose (</w:t>
      </w:r>
      <w:hyperlink w:anchor="fig-curves">
        <w:r>
          <w:rPr>
            <w:rStyle w:val="Hyperlink"/>
          </w:rPr>
          <w:t xml:space="preserve">Figure 4</w:t>
        </w:r>
      </w:hyperlink>
      <w:r>
        <w:t xml:space="preserve">): 100 mg/ml collapses motility</w:t>
      </w:r>
      <w:r>
        <w:t xml:space="preserve"> </w:t>
      </w:r>
      <w:r>
        <w:t xml:space="preserve">within 15–30 minutes in both parasites, each lower dose traces a</w:t>
      </w:r>
      <w:r>
        <w:t xml:space="preserve"> </w:t>
      </w:r>
      <w:r>
        <w:t xml:space="preserve">progressively slower decline, and Negative Controls remain motile throughout.</w:t>
      </w:r>
      <w:r>
        <w:t xml:space="preserve"> </w:t>
      </w:r>
      <w:r>
        <w:t xml:space="preserve">Median time-to-immobilisation lengthened monotonically from 15 minutes at</w:t>
      </w:r>
      <w:r>
        <w:t xml:space="preserve"> </w:t>
      </w:r>
      <w:r>
        <w:t xml:space="preserve">100 mg/ml (uncensored in all blocks) to fully censored controls, with t120</w:t>
      </w:r>
      <w:r>
        <w:t xml:space="preserve"> </w:t>
      </w:r>
      <w:r>
        <w:t xml:space="preserve">motility rising from zero to 0.67 (</w:t>
      </w:r>
      <w:r>
        <w:rPr>
          <w:i/>
          <w:iCs/>
        </w:rPr>
        <w:t xml:space="preserve">congolense</w:t>
      </w:r>
      <w:r>
        <w:t xml:space="preserve">) and 1.0 (</w:t>
      </w:r>
      <w:r>
        <w:rPr>
          <w:i/>
          <w:iCs/>
        </w:rPr>
        <w:t xml:space="preserve">evansi</w:t>
      </w:r>
      <w:r>
        <w:t xml:space="preserve">) in the</w:t>
      </w:r>
      <w:r>
        <w:t xml:space="preserve"> </w:t>
      </w:r>
      <w:r>
        <w:t xml:space="preserve">controls (</w:t>
      </w:r>
      <w:hyperlink w:anchor="tbl-tti">
        <w:r>
          <w:rPr>
            <w:rStyle w:val="Hyperlink"/>
          </w:rPr>
          <w:t xml:space="preserve">Table 3</w:t>
        </w:r>
      </w:hyperlink>
      <w:r>
        <w:t xml:space="preserve">;</w:t>
      </w:r>
      <w:r>
        <w:t xml:space="preserve"> </w:t>
      </w:r>
      <w:hyperlink w:anchor="fig-tti">
        <w:r>
          <w:rPr>
            <w:rStyle w:val="Hyperlink"/>
          </w:rPr>
          <w:t xml:space="preserve">Figure 3</w:t>
        </w:r>
      </w:hyperlink>
      <w:r>
        <w:t xml:space="preserve">). The Positive Controls behaved as a reference</w:t>
      </w:r>
      <w:r>
        <w:t xml:space="preserve"> </w:t>
      </w:r>
      <w:r>
        <w:t xml:space="preserve">trypanocide should — motile at t = 0, immobile thereafter in all sixteen</w:t>
      </w:r>
      <w:r>
        <w:t xml:space="preserve"> </w:t>
      </w:r>
      <w:r>
        <w:t xml:space="preserve">tables — which validates the assay and establishes the benchmark that the</w:t>
      </w:r>
      <w:r>
        <w:t xml:space="preserve"> </w:t>
      </w:r>
      <w:r>
        <w:t xml:space="preserve">top extract dose reproduces. Formally, the blocked trend was highly</w:t>
      </w:r>
      <w:r>
        <w:t xml:space="preserve"> </w:t>
      </w:r>
      <w:r>
        <w:t xml:space="preserve">significant in both parasites (</w:t>
      </w:r>
      <w:hyperlink w:anchor="tbl-mot-dose">
        <w:r>
          <w:rPr>
            <w:rStyle w:val="Hyperlink"/>
          </w:rPr>
          <w:t xml:space="preserve">Table 4</w:t>
        </w:r>
      </w:hyperlink>
      <w:r>
        <w:t xml:space="preserve">;</w:t>
      </w:r>
      <w: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Friedman</w:t>
      </w:r>
      <w:r>
        <w:t xml:space="preserve"> </w:t>
      </w:r>
      <w:r>
        <w:t xml:space="preserve">Q = 27.75, p &lt; 0.001, ρ = −0.70;</w:t>
      </w:r>
      <w:r>
        <w:t xml:space="preserve"> </w:t>
      </w:r>
      <w:r>
        <w:rPr>
          <w:i/>
          <w:iCs/>
        </w:rPr>
        <w:t xml:space="preserve">evansi</w:t>
      </w:r>
      <w:r>
        <w:t xml:space="preserve"> </w:t>
      </w:r>
      <w:r>
        <w:t xml:space="preserve">Q = 30.32, p &lt; 0.001, ρ = −0.88).</w:t>
      </w:r>
      <w:r>
        <w:t xml:space="preserve"> </w:t>
      </w:r>
      <w:r>
        <w:t xml:space="preserve">Post-hoc contrasts against the control (</w:t>
      </w:r>
      <w:hyperlink w:anchor="tbl-mot-posthoc">
        <w:r>
          <w:rPr>
            <w:rStyle w:val="Hyperlink"/>
          </w:rPr>
          <w:t xml:space="preserve">Table 5</w:t>
        </w:r>
      </w:hyperlink>
      <w:r>
        <w:t xml:space="preserve">) were uniformly</w:t>
      </w:r>
      <w:r>
        <w:t xml:space="preserve"> </w:t>
      </w:r>
      <w:r>
        <w:t xml:space="preserve">large at the top doses (rank-biserial −1; HL reductions of −0.83 and −0.89</w:t>
      </w:r>
      <w:r>
        <w:t xml:space="preserve"> </w:t>
      </w:r>
      <w:r>
        <w:t xml:space="preserve">at 100 mg/ml) but, with eight blocks and Holm correction, stopped just short</w:t>
      </w:r>
      <w:r>
        <w:t xml:space="preserve"> </w:t>
      </w:r>
      <w:r>
        <w:t xml:space="preserve">of significance (0.065 and 0.052; 10 mg/ml 0.085 and 0.052), and lower doses</w:t>
      </w:r>
      <w:r>
        <w:t xml:space="preserve"> </w:t>
      </w:r>
      <w:r>
        <w:t xml:space="preserve">were indistinguishable from control — several low-dose pairs matched it</w:t>
      </w:r>
      <w:r>
        <w:t xml:space="preserve"> </w:t>
      </w:r>
      <w:r>
        <w:t xml:space="preserve">exactly. The in-vitro conclusion is therefore a significant ordered trend</w:t>
      </w:r>
      <w:r>
        <w:t xml:space="preserve"> </w:t>
      </w:r>
      <w:r>
        <w:t xml:space="preserve">with large but multiplicity-limited pairwise effects, concentrated at</w:t>
      </w:r>
      <w:r>
        <w:t xml:space="preserve"> </w:t>
      </w:r>
      <w:r>
        <w:t xml:space="preserve">100 mg/ml.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tt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TTI and t120 summaries per dose (medians; censored groups never immobilise).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68"/>
              <w:gridCol w:w="1662"/>
              <w:gridCol w:w="880"/>
              <w:gridCol w:w="1075"/>
              <w:gridCol w:w="1955"/>
              <w:gridCol w:w="9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TTI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Never Immobilised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T120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tti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tti_dos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Time to immobilisation by dose (black = median; x = censored)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urves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motility_summary_curve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Mean proportion motile over time, by dose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mot-do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Motility dose-response on mean proportion motile (Friedman blocked by block; Spearman on log10 dose).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58"/>
              <w:gridCol w:w="937"/>
              <w:gridCol w:w="1146"/>
              <w:gridCol w:w="1146"/>
              <w:gridCol w:w="2084"/>
              <w:gridCol w:w="11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Blocks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Rho Pooled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mot-postho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Post-hoc motility contrasts vs Negative Control (paired Wilcoxon; Holm per parasite).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22"/>
              <w:gridCol w:w="1335"/>
              <w:gridCol w:w="286"/>
              <w:gridCol w:w="381"/>
              <w:gridCol w:w="667"/>
              <w:gridCol w:w="858"/>
              <w:gridCol w:w="2003"/>
              <w:gridCol w:w="76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(Holm)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-0.83 [-0.94, -0.72]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-0.78 [-0.83, -0.44]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-0.61 [-0.78, -0.44]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-0.39 [-0.67, -0.06]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-0.22 [-0.44, 0.00]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-0.89 [-0.94, -0.83]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-0.79 [-0.89, -0.72]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-0.61 [-0.78, -0.50]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-0.44 [-0.50, -0.33]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-0.22 [-0.22, -0.22]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</w:tbl>
          <w:bookmarkEnd w:id="36"/>
          <w:p/>
        </w:tc>
      </w:tr>
    </w:tbl>
    <w:bookmarkEnd w:id="37"/>
    <w:bookmarkStart w:id="73" w:name="objective-iv-in-vivo-infectivity"/>
    <w:p>
      <w:pPr>
        <w:pStyle w:val="Heading2"/>
      </w:pPr>
      <w:r>
        <w:t xml:space="preserve">9 5.4. Objective iv — in-vivo infectivity</w:t>
      </w:r>
    </w:p>
    <w:bookmarkStart w:id="57" w:name="parasitaemia"/>
    <w:p>
      <w:pPr>
        <w:pStyle w:val="Heading3"/>
      </w:pPr>
      <w:r>
        <w:t xml:space="preserve">9.1 Parasitaemia</w:t>
      </w:r>
    </w:p>
    <w:p>
      <w:pPr>
        <w:pStyle w:val="FirstParagraph"/>
      </w:pPr>
      <w:r>
        <w:t xml:space="preserve">The in-vivo gradient reproduced the dish. Mean peak parasitaemia declined</w:t>
      </w:r>
      <w:r>
        <w:t xml:space="preserve"> </w:t>
      </w:r>
      <w:r>
        <w:t xml:space="preserve">monotonically with dose to exactly zero at 100 mg/ml in both parasites with</w:t>
      </w:r>
      <w:r>
        <w:t xml:space="preserve"> </w:t>
      </w:r>
      <w:r>
        <w:t xml:space="preserve">no deaths, against peak LEV 5 with universal mortality in the Negative</w:t>
      </w:r>
      <w:r>
        <w:t xml:space="preserve"> </w:t>
      </w:r>
      <w:r>
        <w:t xml:space="preserve">Controls (</w:t>
      </w:r>
      <w:hyperlink w:anchor="tbl-peak">
        <w:r>
          <w:rPr>
            <w:rStyle w:val="Hyperlink"/>
          </w:rPr>
          <w:t xml:space="preserve">Table 6</w:t>
        </w:r>
      </w:hyperlink>
      <w:r>
        <w:t xml:space="preserve">;</w:t>
      </w:r>
      <w:r>
        <w:t xml:space="preserve"> </w:t>
      </w:r>
      <w:hyperlink w:anchor="fig-peak">
        <w:r>
          <w:rPr>
            <w:rStyle w:val="Hyperlink"/>
          </w:rPr>
          <w:t xml:space="preserve">Figure 5</w:t>
        </w:r>
      </w:hyperlink>
      <w:r>
        <w:t xml:space="preserve">); mortality, clearance time and day-40</w:t>
      </w:r>
      <w:r>
        <w:t xml:space="preserve"> </w:t>
      </w:r>
      <w:r>
        <w:t xml:space="preserve">clearance all tracked the same ordering (</w:t>
      </w:r>
      <w:hyperlink w:anchor="fig-mort">
        <w:r>
          <w:rPr>
            <w:rStyle w:val="Hyperlink"/>
          </w:rPr>
          <w:t xml:space="preserve">Figure 6</w:t>
        </w:r>
      </w:hyperlink>
      <w:r>
        <w:t xml:space="preserve">), and trajectories peaked</w:t>
      </w:r>
      <w:r>
        <w:t xml:space="preserve"> </w:t>
      </w:r>
      <w:r>
        <w:t xml:space="preserve">near days 9–14 before resolving in survivors (</w:t>
      </w:r>
      <w:hyperlink w:anchor="fig-para-traj">
        <w:r>
          <w:rPr>
            <w:rStyle w:val="Hyperlink"/>
          </w:rPr>
          <w:t xml:space="preserve">Figure 8</w:t>
        </w:r>
      </w:hyperlink>
      <w:r>
        <w:t xml:space="preserve">). On cumulative</w:t>
      </w:r>
      <w:r>
        <w:t xml:space="preserve"> </w:t>
      </w:r>
      <w:r>
        <w:t xml:space="preserve">burden the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trend was significant (</w:t>
      </w:r>
      <w:hyperlink w:anchor="tbl-dose">
        <w:r>
          <w:rPr>
            <w:rStyle w:val="Hyperlink"/>
          </w:rPr>
          <w:t xml:space="preserve">Table 7</w:t>
        </w:r>
      </w:hyperlink>
      <w:r>
        <w:t xml:space="preserve">: Friedman Q = 14.51,</w:t>
      </w:r>
      <w:r>
        <w:t xml:space="preserve"> </w:t>
      </w:r>
      <w:r>
        <w:t xml:space="preserve">p = 0.006, ρ = −0.51) with 100, 10 and 0.5 mg/ml each superior to control in</w:t>
      </w:r>
      <w:r>
        <w:t xml:space="preserve"> </w:t>
      </w:r>
      <w:r>
        <w:t xml:space="preserve">all eight blocks (W = 0, exact p = 0.008, Holm 0.039; HL ≈ −50/−50/−44</w:t>
      </w:r>
      <w:r>
        <w:t xml:space="preserve"> </w:t>
      </w:r>
      <w:r>
        <w:t xml:space="preserve">AUC-days), while 0.01 and 0.005 mg/ml lost significance on correction (Holm</w:t>
      </w:r>
      <w:r>
        <w:t xml:space="preserve"> </w:t>
      </w:r>
      <w:r>
        <w:t xml:space="preserve">0.078) despite strongly negative estimates.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showed the same</w:t>
      </w:r>
      <w:r>
        <w:t xml:space="preserve"> </w:t>
      </w:r>
      <w:r>
        <w:t xml:space="preserve">direction with weaker evidence (Friedman p = 0.074; 100 mg/ml Holm 0.071,</w:t>
      </w:r>
      <w:r>
        <w:t xml:space="preserve"> </w:t>
      </w:r>
      <w:r>
        <w:t xml:space="preserve">HL −29.9 [−41.0, −20.9]; lower doses Holm ≥ 0.32;</w:t>
      </w:r>
      <w:r>
        <w:t xml:space="preserve"> </w:t>
      </w:r>
      <w:hyperlink w:anchor="tbl-para-posthoc">
        <w:r>
          <w:rPr>
            <w:rStyle w:val="Hyperlink"/>
          </w:rPr>
          <w:t xml:space="preserve">Table 8</w:t>
        </w:r>
      </w:hyperlink>
      <w:r>
        <w:t xml:space="preserve">,</w:t>
      </w:r>
      <w:r>
        <w:t xml:space="preserve"> </w:t>
      </w:r>
      <w:hyperlink w:anchor="fig-auc">
        <w:r>
          <w:rPr>
            <w:rStyle w:val="Hyperlink"/>
          </w:rPr>
          <w:t xml:space="preserve">Figure 7</w:t>
        </w:r>
      </w:hyperlink>
      <w:r>
        <w:t xml:space="preserve">). Overall burdens did not differ between parasites (paired p = 0.46,</w:t>
      </w:r>
      <w:r>
        <w:t xml:space="preserve"> </w:t>
      </w:r>
      <w:r>
        <w:t xml:space="preserve">HL 6.0 [−10.7, 21.1];</w:t>
      </w:r>
      <w:r>
        <w:t xml:space="preserve"> </w:t>
      </w:r>
      <w:hyperlink w:anchor="tbl-other">
        <w:r>
          <w:rPr>
            <w:rStyle w:val="Hyperlink"/>
          </w:rPr>
          <w:t xml:space="preserve">Table 10</w:t>
        </w:r>
      </w:hyperlink>
      <w:r>
        <w:t xml:space="preserve">): the species differ in dose sensitivity,</w:t>
      </w:r>
      <w:r>
        <w:t xml:space="preserve"> </w:t>
      </w:r>
      <w:r>
        <w:t xml:space="preserve">not in the burden the model produces.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pea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Peak, clearance and mortality per dose (means/medians over 8 blocks).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18"/>
              <w:gridCol w:w="1479"/>
              <w:gridCol w:w="783"/>
              <w:gridCol w:w="870"/>
              <w:gridCol w:w="1479"/>
              <w:gridCol w:w="783"/>
              <w:gridCol w:w="13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Peak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Clear Day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Pct Died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Pct Day40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ak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peak_dos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Peak LEV by dose (black = mean)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mort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mortality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Groups with any death, by dose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do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Parasitaemia dose-response on AUC (Friedman blocked by block; Spearman on log10 dose).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46"/>
              <w:gridCol w:w="672"/>
              <w:gridCol w:w="821"/>
              <w:gridCol w:w="896"/>
              <w:gridCol w:w="821"/>
              <w:gridCol w:w="1494"/>
              <w:gridCol w:w="821"/>
              <w:gridCol w:w="13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Blocks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Rho Pooled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Rho Perblock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14.507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-0.861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para-postho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Post-hoc parasitaemia contrasts vs Negative Control on AUC (paired Wilcoxon; Holm per parasite).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22"/>
              <w:gridCol w:w="1335"/>
              <w:gridCol w:w="286"/>
              <w:gridCol w:w="286"/>
              <w:gridCol w:w="667"/>
              <w:gridCol w:w="858"/>
              <w:gridCol w:w="2290"/>
              <w:gridCol w:w="57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(Holm)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-29.89 [-40.97, -20.92]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-13.25 [-29.10, 2.54]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-11.93 [-24.14, 10.97]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-7.39 [-24.14, 12.96]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-6.59 [-19.57, 10.76]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-50.30 [-74.60, -29.21]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-50.30 [-74.60, -29.21]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-44.13 [-74.60, -29.21]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-31.72 [-65.63, 2.18]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-34.24 [-68.51, -9.40]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auc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auc_dose_respons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Mean AUC vs log10(concentration)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ara-traj"/>
          <w:p>
            <w:pPr>
              <w:pStyle w:val="Compact"/>
              <w:jc w:val="center"/>
            </w:pPr>
            <w:r>
              <w:drawing>
                <wp:inline>
                  <wp:extent cx="5334000" cy="738553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arasitemia_trajectories_faceted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385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Parasitaemia trajectories by block</w:t>
            </w:r>
          </w:p>
          <w:bookmarkEnd w:id="56"/>
        </w:tc>
      </w:tr>
    </w:tbl>
    <w:bookmarkEnd w:id="57"/>
    <w:bookmarkStart w:id="72" w:name="body-weight-and-pcv"/>
    <w:p>
      <w:pPr>
        <w:pStyle w:val="Heading3"/>
      </w:pPr>
      <w:r>
        <w:t xml:space="preserve">9.2 Body weight and PCV</w:t>
      </w:r>
    </w:p>
    <w:p>
      <w:pPr>
        <w:pStyle w:val="FirstParagraph"/>
      </w:pPr>
      <w:r>
        <w:t xml:space="preserve">Neither measure responded to treatment. Mean trajectories across the three</w:t>
      </w:r>
      <w:r>
        <w:t xml:space="preserve"> </w:t>
      </w:r>
      <w:r>
        <w:t xml:space="preserve">timepoints were flat and overlapping (</w:t>
      </w:r>
      <w:hyperlink w:anchor="fig-wp-traj">
        <w:r>
          <w:rPr>
            <w:rStyle w:val="Hyperlink"/>
          </w:rPr>
          <w:t xml:space="preserve">Figure 9</w:t>
        </w:r>
      </w:hyperlink>
      <w:r>
        <w:t xml:space="preserve">), deltas centred near</w:t>
      </w:r>
      <w:r>
        <w:t xml:space="preserve"> </w:t>
      </w:r>
      <w:r>
        <w:t xml:space="preserve">zero (</w:t>
      </w:r>
      <w:hyperlink w:anchor="fig-wt">
        <w:r>
          <w:rPr>
            <w:rStyle w:val="Hyperlink"/>
          </w:rPr>
          <w:t xml:space="preserve">Figure 10</w:t>
        </w:r>
      </w:hyperlink>
      <w:r>
        <w:t xml:space="preserve">,</w:t>
      </w:r>
      <w:r>
        <w:t xml:space="preserve"> </w:t>
      </w:r>
      <w:hyperlink w:anchor="fig-pcv">
        <w:r>
          <w:rPr>
            <w:rStyle w:val="Hyperlink"/>
          </w:rPr>
          <w:t xml:space="preserve">Figure 11</w:t>
        </w:r>
      </w:hyperlink>
      <w:r>
        <w:t xml:space="preserve">), and no plant or parasite contrast approached</w:t>
      </w:r>
      <w:r>
        <w:t xml:space="preserve"> </w:t>
      </w:r>
      <w:r>
        <w:t xml:space="preserve">significance (</w:t>
      </w:r>
      <w:hyperlink w:anchor="tbl-other">
        <w:r>
          <w:rPr>
            <w:rStyle w:val="Hyperlink"/>
          </w:rPr>
          <w:t xml:space="preserve">Table 10</w:t>
        </w:r>
      </w:hyperlink>
      <w:r>
        <w:t xml:space="preserve">; all p ≥ 0.15 with intervals spanning zero). The</w:t>
      </w:r>
      <w:r>
        <w:t xml:space="preserve"> </w:t>
      </w:r>
      <w:r>
        <w:t xml:space="preserve">informative signal is instead where the flags fell (</w:t>
      </w:r>
      <w:hyperlink w:anchor="tbl-flags">
        <w:r>
          <w:rPr>
            <w:rStyle w:val="Hyperlink"/>
          </w:rPr>
          <w:t xml:space="preserve">Table 9</w:t>
        </w:r>
      </w:hyperlink>
      <w:r>
        <w:t xml:space="preserve">): deaths,</w:t>
      </w:r>
      <w:r>
        <w:t xml:space="preserve"> </w:t>
      </w:r>
      <w:r>
        <w:t xml:space="preserve">severe weight loss and anaemia concentrated almost entirely in</w:t>
      </w:r>
      <w:r>
        <w:t xml:space="preserve"> </w:t>
      </w:r>
      <w:r>
        <w:rPr>
          <w:i/>
          <w:iCs/>
        </w:rPr>
        <w:t xml:space="preserve">T.</w:t>
      </w:r>
      <w:r>
        <w:rPr>
          <w:i/>
          <w:iCs/>
        </w:rP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blocks of both plants, with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groups largely unflagged.</w:t>
      </w:r>
      <w:r>
        <w:t xml:space="preserve"> </w:t>
      </w:r>
      <w:r>
        <w:t xml:space="preserve">Two inferences follow. First, the parasitaemia effects above are not</w:t>
      </w:r>
      <w:r>
        <w:t xml:space="preserve"> </w:t>
      </w:r>
      <w:r>
        <w:t xml:space="preserve">confounded by differential toxicity — treated groups gained no weight or PCV</w:t>
      </w:r>
      <w:r>
        <w:t xml:space="preserve"> </w:t>
      </w:r>
      <w:r>
        <w:t xml:space="preserve">advantage because there was no toxicity gradient to begin with. Second,</w:t>
      </w:r>
      <w:r>
        <w:t xml:space="preserve"> </w:t>
      </w:r>
      <w:r>
        <w:rPr>
          <w:i/>
          <w:iCs/>
        </w:rPr>
        <w:t xml:space="preserve">T.</w:t>
      </w:r>
      <w:r>
        <w:rPr>
          <w:i/>
          <w:iCs/>
        </w:rP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is confirmed as the more pathogenic organism in this model,</w:t>
      </w:r>
      <w:r>
        <w:t xml:space="preserve"> </w:t>
      </w:r>
      <w:r>
        <w:t xml:space="preserve">independently of extract.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fl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Toxicity/anaemia flag counts (descriptive).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1320"/>
              <w:gridCol w:w="1540"/>
              <w:gridCol w:w="31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Groups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weight loss (&gt;=20%)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toxicity signal (&gt;=10% loss)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weight loss (&gt;=20%)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toxicity signal (&gt;=10% loss)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weight loss (&gt;=20%)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toxicity signal (&gt;=10% loss)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wp-traj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weight_pcv_traj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Mean weight and PCV across timepoints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oth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Parasite, weight and PCV contrasts (paired Wilcoxon; 8 pairs each).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87"/>
              <w:gridCol w:w="2673"/>
              <w:gridCol w:w="297"/>
              <w:gridCol w:w="297"/>
              <w:gridCol w:w="693"/>
              <w:gridCol w:w="2079"/>
              <w:gridCol w:w="59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 vs 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5.95 [-10.69, 21.10]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delta: plant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-0.81 [-2.29, 0.44]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delta: 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-1.34 [-3.90, 0.29]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delta: plant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0.48 [-3.70, 4.38]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delta: 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0.40 [-3.62, 3.48]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</w:tr>
          </w:tbl>
          <w:bookmarkEnd w:id="6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wt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weight_delta_boxplo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Body-weight change Post−Pre (g)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cv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cv_delta_boxplo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PCV change Post−Pre (pp)</w:t>
            </w:r>
          </w:p>
          <w:bookmarkEnd w:id="71"/>
        </w:tc>
      </w:tr>
    </w:tbl>
    <w:bookmarkEnd w:id="72"/>
    <w:bookmarkEnd w:id="73"/>
    <w:bookmarkStart w:id="83" w:name="objective-v-comparative-superiority"/>
    <w:p>
      <w:pPr>
        <w:pStyle w:val="Heading2"/>
      </w:pPr>
      <w:r>
        <w:t xml:space="preserve">10 5.5. Objective v — comparative superiority</w:t>
      </w:r>
    </w:p>
    <w:p>
      <w:pPr>
        <w:pStyle w:val="FirstParagraph"/>
      </w:pPr>
      <w:r>
        <w:t xml:space="preserve">The eight paired differences span zero with no structure: three favour</w:t>
      </w:r>
      <w:r>
        <w:t xml:space="preserve"> </w:t>
      </w:r>
      <w:r>
        <w:rPr>
          <w:i/>
          <w:iCs/>
        </w:rPr>
        <w:t xml:space="preserve">M.</w:t>
      </w:r>
      <w:r>
        <w:rPr>
          <w:i/>
          <w:iCs/>
        </w:rPr>
        <w:t xml:space="preserve"> </w:t>
      </w:r>
      <w:r>
        <w:rPr>
          <w:i/>
          <w:iCs/>
        </w:rPr>
        <w:t xml:space="preserve">oleifera</w:t>
      </w:r>
      <w:r>
        <w:t xml:space="preserve"> </w:t>
      </w:r>
      <w:r>
        <w:t xml:space="preserve">(to −21.5 AUC-days), four favour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(to +18.1), one is an</w:t>
      </w:r>
      <w:r>
        <w:t xml:space="preserve"> </w:t>
      </w:r>
      <w:r>
        <w:t xml:space="preserve">exact tie, and neither part nor parasite predicts the sign (</w:t>
      </w:r>
      <w:hyperlink w:anchor="fig-forest">
        <w:r>
          <w:rPr>
            <w:rStyle w:val="Hyperlink"/>
          </w:rPr>
          <w:t xml:space="preserve">Figure 12</w:t>
        </w:r>
      </w:hyperlink>
      <w:r>
        <w:t xml:space="preserve">;</w:t>
      </w:r>
      <w:r>
        <w:t xml:space="preserve"> </w:t>
      </w:r>
      <w:hyperlink w:anchor="fig-paired">
        <w:r>
          <w:rPr>
            <w:rStyle w:val="Hyperlink"/>
          </w:rPr>
          <w:t xml:space="preserve">Figure 13</w:t>
        </w:r>
      </w:hyperlink>
      <w:r>
        <w:t xml:space="preserve">). The paired test returns the null almost exactly (W = 14,</w:t>
      </w:r>
      <w:r>
        <w:t xml:space="preserve"> </w:t>
      </w:r>
      <w:r>
        <w:t xml:space="preserve">exact p = 1.0; HL 0.3, 95% CI −14.7 to 20.5; rank-biserial −0.14), and the</w:t>
      </w:r>
      <w:r>
        <w:t xml:space="preserve"> </w:t>
      </w:r>
      <w:r>
        <w:t xml:space="preserve">motility cross-check concurs (p = 0.15;</w:t>
      </w:r>
      <w:r>
        <w:t xml:space="preserve"> </w:t>
      </w:r>
      <w:hyperlink w:anchor="tbl-sup">
        <w:r>
          <w:rPr>
            <w:rStyle w:val="Hyperlink"/>
          </w:rPr>
          <w:t xml:space="preserve">Table 11</w:t>
        </w:r>
      </w:hyperlink>
      <w:r>
        <w:t xml:space="preserve">). Because the interval</w:t>
      </w:r>
      <w:r>
        <w:t xml:space="preserve"> </w:t>
      </w:r>
      <w:r>
        <w:t xml:space="preserve">covers meaningful effects in both directions, the data neither establish nor</w:t>
      </w:r>
      <w:r>
        <w:t xml:space="preserve"> </w:t>
      </w:r>
      <w:r>
        <w:t xml:space="preserve">exclude a modest plant difference — but as a superiority claim for either</w:t>
      </w:r>
      <w:r>
        <w:t xml:space="preserve"> </w:t>
      </w:r>
      <w:r>
        <w:t xml:space="preserve">agent, the answer is negative, and it is insensitive to any single block</w:t>
      </w:r>
      <w:r>
        <w:t xml:space="preserve"> </w:t>
      </w:r>
      <w:r>
        <w:t xml:space="preserve">(Section 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su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Plant superiority contrasts (paired Wilcoxon; 8 pairs each).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7"/>
              <w:gridCol w:w="2605"/>
              <w:gridCol w:w="312"/>
              <w:gridCol w:w="312"/>
              <w:gridCol w:w="729"/>
              <w:gridCol w:w="2188"/>
              <w:gridCol w:w="8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 vs M. oleifera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0.30 [-14.73, 20.54]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-0.1429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 vs M. oleifera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 [-0.08, 0.24]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0.2500</w:t>
                  </w:r>
                </w:p>
              </w:tc>
            </w:tr>
          </w:tbl>
          <w:bookmarkEnd w:id="7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forest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lant_fores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Paired AUC difference per block with overall HL estimate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paired"/>
          <w:p>
            <w:pPr>
              <w:pStyle w:val="Compact"/>
              <w:jc w:val="center"/>
            </w:pPr>
            <w:r>
              <w:drawing>
                <wp:inline>
                  <wp:extent cx="5334000" cy="451338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lant_paired_auc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3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Paired block-mean AUC scatter</w:t>
            </w:r>
          </w:p>
          <w:bookmarkEnd w:id="82"/>
        </w:tc>
      </w:tr>
    </w:tbl>
    <w:bookmarkEnd w:id="83"/>
    <w:bookmarkStart w:id="89" w:name="diagnostics-sensitivity-and-refits"/>
    <w:p>
      <w:pPr>
        <w:pStyle w:val="Heading2"/>
      </w:pPr>
      <w:r>
        <w:t xml:space="preserve">11 6. Diagnostics, sensitivity and refits</w:t>
      </w:r>
    </w:p>
    <w:p>
      <w:pPr>
        <w:pStyle w:val="FirstParagraph"/>
      </w:pPr>
      <w:r>
        <w:t xml:space="preserve">Contrasts with tied ranks or zero differences report</w:t>
      </w:r>
      <w:r>
        <w:t xml:space="preserve"> </w:t>
      </w:r>
      <w:r>
        <w:rPr>
          <w:rStyle w:val="VerbatimChar"/>
        </w:rPr>
        <w:t xml:space="preserve">n_nonzero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n_ties</w:t>
      </w:r>
      <w:r>
        <w:t xml:space="preserve"> </w:t>
      </w:r>
      <w:r>
        <w:t xml:space="preserve">and the p-value method used (exact only when clean; continuity-corrected</w:t>
      </w:r>
      <w:r>
        <w:t xml:space="preserve"> </w:t>
      </w:r>
      <w:r>
        <w:t xml:space="preserve">normal approximation otherwise); refitting on this basis left no conclusion</w:t>
      </w:r>
      <w:r>
        <w:t xml:space="preserve"> </w:t>
      </w:r>
      <w:r>
        <w:t xml:space="preserve">changed. Paired differences were inspected for the symmetry the signed-rank</w:t>
      </w:r>
      <w:r>
        <w:t xml:space="preserve"> </w:t>
      </w:r>
      <w:r>
        <w:t xml:space="preserve">test assumes (</w:t>
      </w:r>
      <w:hyperlink w:anchor="fig-sym">
        <w:r>
          <w:rPr>
            <w:rStyle w:val="Hyperlink"/>
          </w:rPr>
          <w:t xml:space="preserve">Figure 14</w:t>
        </w:r>
      </w:hyperlink>
      <w:r>
        <w:t xml:space="preserve">):</w:t>
      </w:r>
      <w:r>
        <w:t xml:space="preserve"> </w:t>
      </w:r>
      <w:r>
        <w:rPr>
          <w:i/>
          <w:iCs/>
        </w:rPr>
        <w:t xml:space="preserve">evansi</w:t>
      </w:r>
      <w:r>
        <w:t xml:space="preserve"> </w:t>
      </w:r>
      <w:r>
        <w:t xml:space="preserve">differences form a pure location shift,</w:t>
      </w:r>
      <w:r>
        <w:t xml:space="preserve"> </w:t>
      </w:r>
      <w:r>
        <w:t xml:space="preserve">while the superiority differences are symmetric about zero, consistent with</w:t>
      </w:r>
      <w:r>
        <w:t xml:space="preserve"> </w:t>
      </w:r>
      <w:r>
        <w:t xml:space="preserve">its null. Leave-one-block-out re-analysis (</w:t>
      </w:r>
      <w:hyperlink w:anchor="tbl-loo">
        <w:r>
          <w:rPr>
            <w:rStyle w:val="Hyperlink"/>
          </w:rPr>
          <w:t xml:space="preserve">Table 12</w:t>
        </w:r>
      </w:hyperlink>
      <w:r>
        <w:t xml:space="preserve">) found no conclusion</w:t>
      </w:r>
      <w:r>
        <w:t xml:space="preserve"> </w:t>
      </w:r>
      <w:r>
        <w:t xml:space="preserve">dependent on any single block. Completeness is asserted structurally at</w:t>
      </w:r>
      <w:r>
        <w:t xml:space="preserve"> </w:t>
      </w:r>
      <w:r>
        <w:t xml:space="preserve">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lo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Leave-one-block-out sensitivity (stable = no single block flips the conclusion).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21"/>
              <w:gridCol w:w="676"/>
              <w:gridCol w:w="965"/>
              <w:gridCol w:w="965"/>
              <w:gridCol w:w="1545"/>
              <w:gridCol w:w="869"/>
              <w:gridCol w:w="67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Full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p 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p 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Significant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Runs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evansi 100mg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evansi 10mg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evansi 0.5mg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congolense 100mg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plant superiority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</w:tbl>
          <w:bookmarkEnd w:id="8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sym"/>
          <w:p>
            <w:pPr>
              <w:pStyle w:val="Compact"/>
              <w:jc w:val="center"/>
            </w:pPr>
            <w:r>
              <w:drawing>
                <wp:inline>
                  <wp:extent cx="5334000" cy="328246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diagnostic_paired_diffs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82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Paired differences: symmetry check (red = median)</w:t>
            </w:r>
          </w:p>
          <w:bookmarkEnd w:id="88"/>
        </w:tc>
      </w:tr>
    </w:tbl>
    <w:bookmarkEnd w:id="89"/>
    <w:bookmarkStart w:id="90" w:name="discussion"/>
    <w:p>
      <w:pPr>
        <w:pStyle w:val="Heading2"/>
      </w:pPr>
      <w:r>
        <w:t xml:space="preserve">12 7. Discussion</w:t>
      </w:r>
    </w:p>
    <w:p>
      <w:pPr>
        <w:pStyle w:val="FirstParagraph"/>
      </w:pPr>
      <w:r>
        <w:t xml:space="preserve">The three assay layers converge on one finding — both extracts are genuinely</w:t>
      </w:r>
      <w:r>
        <w:t xml:space="preserve"> </w:t>
      </w:r>
      <w:r>
        <w:t xml:space="preserve">and dose-dependently trypanocidal — and each layer has a direct precedent in</w:t>
      </w:r>
      <w:r>
        <w:t xml:space="preserve"> </w:t>
      </w:r>
      <w:r>
        <w:t xml:space="preserve">the recent literature. The in-vitro ordering (TTI of 15 minutes at the top</w:t>
      </w:r>
      <w:r>
        <w:t xml:space="preserve"> </w:t>
      </w:r>
      <w:r>
        <w:t xml:space="preserve">dose lengthening monotonically to fully censored controls;</w:t>
      </w:r>
      <w:r>
        <w:t xml:space="preserve"> </w:t>
      </w:r>
      <w:hyperlink w:anchor="fig-tti">
        <w:r>
          <w:rPr>
            <w:rStyle w:val="Hyperlink"/>
          </w:rPr>
          <w:t xml:space="preserve">Figure 3</w:t>
        </w:r>
      </w:hyperlink>
      <w:r>
        <w:t xml:space="preserve">,</w:t>
      </w:r>
      <w:r>
        <w:t xml:space="preserve"> </w:t>
      </w:r>
      <w:hyperlink w:anchor="fig-curves">
        <w:r>
          <w:rPr>
            <w:rStyle w:val="Hyperlink"/>
          </w:rPr>
          <w:t xml:space="preserve">Figure 4</w:t>
        </w:r>
      </w:hyperlink>
      <w:r>
        <w:t xml:space="preserve">) sits squarely in the published range:</w:t>
      </w:r>
      <w:r>
        <w:t xml:space="preserve"> </w:t>
      </w:r>
      <w:r>
        <w:rPr>
          <w:i/>
          <w:iCs/>
        </w:rPr>
        <w:t xml:space="preserve">Acacia</w:t>
      </w:r>
      <w:r>
        <w:t xml:space="preserve"> </w:t>
      </w:r>
      <w:r>
        <w:t xml:space="preserve">stem-bark</w:t>
      </w:r>
      <w:r>
        <w:t xml:space="preserve"> </w:t>
      </w:r>
      <w:r>
        <w:t xml:space="preserve">extracts immobilised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within 15 minutes at their top doses</w:t>
      </w:r>
      <w:r>
        <w:t xml:space="preserve"> </w:t>
      </w:r>
      <w:r>
        <w:t xml:space="preserve">(Ogbole et al. 2021),</w:t>
      </w:r>
      <w:r>
        <w:t xml:space="preserve"> </w:t>
      </w:r>
      <w:r>
        <w:rPr>
          <w:i/>
          <w:iCs/>
        </w:rPr>
        <w:t xml:space="preserve">Ranunculus</w:t>
      </w:r>
      <w:r>
        <w:t xml:space="preserve"> </w:t>
      </w:r>
      <w:r>
        <w:t xml:space="preserve">extracts and anemonin within 5–30 minutes</w:t>
      </w:r>
      <w:r>
        <w:t xml:space="preserve"> </w:t>
      </w:r>
      <w:r>
        <w:t xml:space="preserve">(Sirak et al. 2024), and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fractions within the hour (Tauheed et</w:t>
      </w:r>
      <w:r>
        <w:t xml:space="preserve"> </w:t>
      </w:r>
      <w:r>
        <w:t xml:space="preserve">al. 2021). Notably, the Ogbole design is a near twin of the present assay —</w:t>
      </w:r>
      <w:r>
        <w:t xml:space="preserve"> </w:t>
      </w:r>
      <w:r>
        <w:t xml:space="preserve">identical +/− scoring over 0–120 minutes, the same threshold behaviour with</w:t>
      </w:r>
      <w:r>
        <w:t xml:space="preserve"> </w:t>
      </w:r>
      <w:r>
        <w:t xml:space="preserve">top doses matching the Berenil control and the lowest dose equalling the</w:t>
      </w:r>
      <w:r>
        <w:t xml:space="preserve"> </w:t>
      </w:r>
      <w:r>
        <w:t xml:space="preserve">negative control — so the threshold pattern here replicates an established</w:t>
      </w:r>
      <w:r>
        <w:t xml:space="preserve"> </w:t>
      </w:r>
      <w:r>
        <w:t xml:space="preserve">signature rather than standing alone. One caveat travels with this literature</w:t>
      </w:r>
      <w:r>
        <w:t xml:space="preserve"> </w:t>
      </w:r>
      <w:r>
        <w:t xml:space="preserve">and applies here: Sirak et al. showed that in-vitro immobilisation at low</w:t>
      </w:r>
      <w:r>
        <w:t xml:space="preserve"> </w:t>
      </w:r>
      <w:r>
        <w:t xml:space="preserve">doses need not mean death, with parasites recovering infectivity. The present</w:t>
      </w:r>
      <w:r>
        <w:t xml:space="preserve"> </w:t>
      </w:r>
      <w:r>
        <w:t xml:space="preserve">TTI gradient is therefore read as a kill proxy corroborated by the infectivity</w:t>
      </w:r>
      <w:r>
        <w:t xml:space="preserve"> </w:t>
      </w:r>
      <w:r>
        <w:t xml:space="preserve">outcomes (peaks and mortality), not as proof of death at every dose.</w:t>
      </w:r>
    </w:p>
    <w:p>
      <w:pPr>
        <w:pStyle w:val="BodyText"/>
      </w:pPr>
      <w:r>
        <w:t xml:space="preserve">In-vivo, the dose-dependent suppression of peaks and burden with zero</w:t>
      </w:r>
      <w:r>
        <w:t xml:space="preserve"> </w:t>
      </w:r>
      <w:r>
        <w:t xml:space="preserve">mortality at the top dose matches the direction reported for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stem bark (Wanzala et al. 2017; Mbaya et al. 2010),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leaves (Okoh</w:t>
      </w:r>
      <w:r>
        <w:t xml:space="preserve"> </w:t>
      </w:r>
      <w:r>
        <w:t xml:space="preserve">2018; Ngure et al. 2009) and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seed and leaves (Ujah et al. 2020;</w:t>
      </w:r>
      <w:r>
        <w:t xml:space="preserve"> </w:t>
      </w:r>
      <w:r>
        <w:t xml:space="preserve">Datti et al. 2020), including their shared observation that crude extracts</w:t>
      </w:r>
      <w:r>
        <w:t xml:space="preserve"> </w:t>
      </w:r>
      <w:r>
        <w:t xml:space="preserve">suppress rather than sterilise at lower doses. Two contrasts with that</w:t>
      </w:r>
      <w:r>
        <w:t xml:space="preserve"> </w:t>
      </w:r>
      <w:r>
        <w:t xml:space="preserve">literature deserve emphasis. First, the effective threshold here — full</w:t>
      </w:r>
      <w:r>
        <w:t xml:space="preserve"> </w:t>
      </w:r>
      <w:r>
        <w:t xml:space="preserve">suppression at the top in-vitro-style dose with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yielding from</w:t>
      </w:r>
      <w:r>
        <w:t xml:space="preserve"> </w:t>
      </w:r>
      <w:r>
        <w:t xml:space="preserve">0.5 mg/ml — is strong for crude methanolic extracts, most of which in the</w:t>
      </w:r>
      <w:r>
        <w:t xml:space="preserve"> </w:t>
      </w:r>
      <w:r>
        <w:t xml:space="preserve">cited studies reduced but did not clear parasitaemia; whether that reflects</w:t>
      </w:r>
      <w:r>
        <w:t xml:space="preserve"> </w:t>
      </w:r>
      <w:r>
        <w:t xml:space="preserve">genuine potency or the concentration-based (rather than mg/kg) dosing of</w:t>
      </w:r>
      <w:r>
        <w:t xml:space="preserve"> </w:t>
      </w:r>
      <w:r>
        <w:t xml:space="preserve">this design is a question for the thesis methods, not this analysis. Second,</w:t>
      </w:r>
      <w:r>
        <w:t xml:space="preserve"> </w:t>
      </w:r>
      <w:r>
        <w:t xml:space="preserve">Rabe et al. (2024) found ethanolic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markedly superior to</w:t>
      </w:r>
      <w:r>
        <w:t xml:space="preserve"> </w:t>
      </w:r>
      <w:r>
        <w:rPr>
          <w:i/>
          <w:iCs/>
        </w:rPr>
        <w:t xml:space="preserve">M.</w:t>
      </w:r>
      <w:r>
        <w:rPr>
          <w:i/>
          <w:iCs/>
        </w:rPr>
        <w:t xml:space="preserve"> </w:t>
      </w:r>
      <w:r>
        <w:rPr>
          <w:i/>
          <w:iCs/>
        </w:rPr>
        <w:t xml:space="preserve">oleifera</w:t>
      </w:r>
      <w:r>
        <w:t xml:space="preserve"> </w:t>
      </w:r>
      <w:r>
        <w:t xml:space="preserve">against a diminazene-resistant</w:t>
      </w:r>
      <w:r>
        <w:t xml:space="preserve"> </w:t>
      </w:r>
      <w:r>
        <w:rPr>
          <w:i/>
          <w:iCs/>
        </w:rPr>
        <w:t xml:space="preserve">T. brucei</w:t>
      </w:r>
      <w:r>
        <w:t xml:space="preserve"> </w:t>
      </w:r>
      <w:r>
        <w:t xml:space="preserve">strain, whereas the</w:t>
      </w:r>
      <w:r>
        <w:t xml:space="preserve"> </w:t>
      </w:r>
      <w:r>
        <w:t xml:space="preserve">present comparison across four parts and two parasites finds no difference;</w:t>
      </w:r>
      <w:r>
        <w:t xml:space="preserve"> </w:t>
      </w:r>
      <w:r>
        <w:t xml:space="preserve">the reconciliation is context — single leaf extracts against a resistant</w:t>
      </w:r>
      <w:r>
        <w:t xml:space="preserve"> </w:t>
      </w:r>
      <w:r>
        <w:t xml:space="preserve">strain versus broad part × parasite panels — and it cautions against</w:t>
      </w:r>
      <w:r>
        <w:t xml:space="preserve"> </w:t>
      </w:r>
      <w:r>
        <w:t xml:space="preserve">generalising either result beyond its design.</w:t>
      </w:r>
    </w:p>
    <w:p>
      <w:pPr>
        <w:pStyle w:val="BodyText"/>
      </w:pPr>
      <w:r>
        <w:t xml:space="preserve">The phytochemical picture is consistent with the pharmacology literature</w:t>
      </w:r>
      <w:r>
        <w:t xml:space="preserve"> </w:t>
      </w:r>
      <w:r>
        <w:t xml:space="preserve">without overreaching it. The classes present here — alkaloids, flavonoids,</w:t>
      </w:r>
      <w:r>
        <w:t xml:space="preserve"> </w:t>
      </w:r>
      <w:r>
        <w:t xml:space="preserve">saponins and tannins — are precisely those repeatedly tied to trypanocidal</w:t>
      </w:r>
      <w:r>
        <w:t xml:space="preserve"> </w:t>
      </w:r>
      <w:r>
        <w:t xml:space="preserve">activity (Ujah et al. 2020; Ogbole et al. 2021), and the part-axis variation</w:t>
      </w:r>
      <w:r>
        <w:t xml:space="preserve"> </w:t>
      </w:r>
      <w:r>
        <w:t xml:space="preserve">(steroids only in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leaves/seeds, terpenoids only in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stem bark) offers natural fractionation targets. The mechanistic hypothesis</w:t>
      </w:r>
      <w:r>
        <w:t xml:space="preserve"> </w:t>
      </w:r>
      <w:r>
        <w:t xml:space="preserve">with the most direct support is trypanosome alternative oxidase inhibition,</w:t>
      </w:r>
      <w:r>
        <w:t xml:space="preserve"> </w:t>
      </w:r>
      <w:r>
        <w:t xml:space="preserve">for which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fractions already show dose-dependent motility</w:t>
      </w:r>
      <w:r>
        <w:t xml:space="preserve"> </w:t>
      </w:r>
      <w:r>
        <w:t xml:space="preserve">suppression coupled to enzyme inhibition (Tauheed et al. 2021); testing the</w:t>
      </w:r>
      <w:r>
        <w:t xml:space="preserve"> </w:t>
      </w:r>
      <w:r>
        <w:t xml:space="preserve">present extracts in that assay would be the logical next step. The weight and</w:t>
      </w:r>
      <w:r>
        <w:t xml:space="preserve"> </w:t>
      </w:r>
      <w:r>
        <w:t xml:space="preserve">PCV nulls diverge from studies reporting PCV recovery under treatment</w:t>
      </w:r>
      <w:r>
        <w:t xml:space="preserve"> </w:t>
      </w:r>
      <w:r>
        <w:t xml:space="preserve">(Datti et al. 2020; Ujah et al. 2020; Tauheed et al. 2021), but those studies</w:t>
      </w:r>
      <w:r>
        <w:t xml:space="preserve"> </w:t>
      </w:r>
      <w:r>
        <w:t xml:space="preserve">used animal-level data with identified controls and larger groups, whereas</w:t>
      </w:r>
      <w:r>
        <w:t xml:space="preserve"> </w:t>
      </w:r>
      <w:r>
        <w:t xml:space="preserve">the present group-mean design with eight blocks cannot resolve modest</w:t>
      </w:r>
      <w:r>
        <w:t xml:space="preserve"> </w:t>
      </w:r>
      <w:r>
        <w:t xml:space="preserve">haematological effects — absence of evidence here, not evidence of absence,</w:t>
      </w:r>
      <w:r>
        <w:t xml:space="preserve"> </w:t>
      </w:r>
      <w:r>
        <w:t xml:space="preserve">and the flag clustering still independently ranks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the more</w:t>
      </w:r>
      <w:r>
        <w:t xml:space="preserve"> </w:t>
      </w:r>
      <w:r>
        <w:t xml:space="preserve">pathogenic parasite, in line with the comparative literature. Methodologically,</w:t>
      </w:r>
      <w:r>
        <w:t xml:space="preserve"> </w:t>
      </w:r>
      <w:r>
        <w:t xml:space="preserve">the Sirak-style ANOVA+Tukey pipeline used across much of this literature</w:t>
      </w:r>
      <w:r>
        <w:t xml:space="preserve"> </w:t>
      </w:r>
      <w:r>
        <w:t xml:space="preserve">assumes normality and independence that group-mean, ordinal, repeated</w:t>
      </w:r>
      <w:r>
        <w:t xml:space="preserve"> </w:t>
      </w:r>
      <w:r>
        <w:t xml:space="preserve">observations violate; the block-level rank analysis here answers the same</w:t>
      </w:r>
      <w:r>
        <w:t xml:space="preserve"> </w:t>
      </w:r>
      <w:r>
        <w:t xml:space="preserve">questions without those assumptions, at the accepted cost of power. Taken</w:t>
      </w:r>
      <w:r>
        <w:t xml:space="preserve"> </w:t>
      </w:r>
      <w:r>
        <w:t xml:space="preserve">together, the supported position is narrow and firm: both extracts are active</w:t>
      </w:r>
      <w:r>
        <w:t xml:space="preserve"> </w:t>
      </w:r>
      <w:r>
        <w:t xml:space="preserve">in a dose-dependent manner with the top dose fully suppressive,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the more sensitive parasite, and neither plant demonstrably superior —</w:t>
      </w:r>
      <w:r>
        <w:t xml:space="preserve"> </w:t>
      </w:r>
      <w:r>
        <w:t xml:space="preserve">pending animal-level confirmatory work with identified controls, a refined</w:t>
      </w:r>
      <w:r>
        <w:t xml:space="preserve"> </w:t>
      </w:r>
      <w:r>
        <w:t xml:space="preserve">0.5–10 mg/ml grid around the</w:t>
      </w:r>
      <w: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threshold, and fractionation</w:t>
      </w:r>
      <w:r>
        <w:t xml:space="preserve"> </w:t>
      </w:r>
      <w:r>
        <w:t xml:space="preserve">toward the compound level.</w:t>
      </w:r>
    </w:p>
    <w:bookmarkEnd w:id="90"/>
    <w:bookmarkStart w:id="91" w:name="limitations"/>
    <w:p>
      <w:pPr>
        <w:pStyle w:val="Heading2"/>
      </w:pPr>
      <w:r>
        <w:t xml:space="preserve">13 8. Limitations</w:t>
      </w:r>
    </w:p>
    <w:p>
      <w:pPr>
        <w:pStyle w:val="FirstParagraph"/>
      </w:pPr>
      <w:r>
        <w:t xml:space="preserve">Group means of three mice erase within-group variance, so inference rests on</w:t>
      </w:r>
      <w:r>
        <w:t xml:space="preserve"> </w:t>
      </w:r>
      <w:r>
        <w:t xml:space="preserve">sixteen blocks; intervals are wide and description carries the weight.</w:t>
      </w:r>
      <w:r>
        <w:t xml:space="preserve"> </w:t>
      </w:r>
      <w:r>
        <w:t xml:space="preserve">Control identities and doses are unknown, restricting the Positive Control</w:t>
      </w:r>
      <w:r>
        <w:t xml:space="preserve"> </w:t>
      </w:r>
      <w:r>
        <w:t xml:space="preserve">to a validity reference. Death-censored AUC flatters early-death groups and</w:t>
      </w:r>
      <w:r>
        <w:t xml:space="preserve"> </w:t>
      </w:r>
      <w:r>
        <w:t xml:space="preserve">is therefore always read with mortality. The NA-equals-death convention</w:t>
      </w:r>
      <w:r>
        <w:t xml:space="preserve"> </w:t>
      </w:r>
      <w:r>
        <w:t xml:space="preserve">awaits confirmation against animal records. All results are exploratory, not</w:t>
      </w:r>
      <w:r>
        <w:t xml:space="preserve"> </w:t>
      </w:r>
      <w:r>
        <w:t xml:space="preserve">confirmatory.</w:t>
      </w:r>
    </w:p>
    <w:bookmarkEnd w:id="91"/>
    <w:bookmarkStart w:id="92" w:name="references"/>
    <w:p>
      <w:pPr>
        <w:pStyle w:val="Heading2"/>
      </w:pPr>
      <w:r>
        <w:t xml:space="preserve">14 9. References</w:t>
      </w:r>
    </w:p>
    <w:p>
      <w:pPr>
        <w:pStyle w:val="Compact"/>
        <w:numPr>
          <w:ilvl w:val="0"/>
          <w:numId w:val="1001"/>
        </w:numPr>
      </w:pPr>
      <w:r>
        <w:t xml:space="preserve">Barrett, M.P. (2025) — on toxicity and resistance limits of current</w:t>
      </w:r>
      <w:r>
        <w:t xml:space="preserve"> </w:t>
      </w:r>
      <w:r>
        <w:t xml:space="preserve">trypanocides; cited via Abdullahi et al. (2026).</w:t>
      </w:r>
    </w:p>
    <w:p>
      <w:pPr>
        <w:pStyle w:val="Compact"/>
        <w:numPr>
          <w:ilvl w:val="0"/>
          <w:numId w:val="1001"/>
        </w:numPr>
      </w:pPr>
      <w:r>
        <w:t xml:space="preserve">Abdullahi, R.I. et al. (2026). Phytochemical profiling and in-vitro</w:t>
      </w:r>
      <w:r>
        <w:t xml:space="preserve"> </w:t>
      </w:r>
      <w:r>
        <w:t xml:space="preserve">antitrypanosomal efficacy of</w:t>
      </w:r>
      <w:r>
        <w:t xml:space="preserve"> </w:t>
      </w:r>
      <w:r>
        <w:rPr>
          <w:i/>
          <w:iCs/>
        </w:rPr>
        <w:t xml:space="preserve">Combretum glutinosum</w:t>
      </w:r>
      <w:r>
        <w:t xml:space="preserve"> </w:t>
      </w:r>
      <w:r>
        <w:t xml:space="preserve">leaf extract.</w:t>
      </w:r>
      <w:r>
        <w:t xml:space="preserve"> </w:t>
      </w:r>
      <w:r>
        <w:rPr>
          <w:i/>
          <w:iCs/>
        </w:rPr>
        <w:t xml:space="preserve">FJS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Adams, L. et al. (2024). Antitrypanosomal activities of</w:t>
      </w:r>
      <w:r>
        <w:t xml:space="preserve"> </w:t>
      </w:r>
      <w:r>
        <w:rPr>
          <w:i/>
          <w:iCs/>
        </w:rPr>
        <w:t xml:space="preserve">Anopyxis</w:t>
      </w:r>
      <w:r>
        <w:rPr>
          <w:i/>
          <w:iCs/>
        </w:rPr>
        <w:t xml:space="preserve"> </w:t>
      </w:r>
      <w:r>
        <w:rPr>
          <w:i/>
          <w:iCs/>
        </w:rPr>
        <w:t xml:space="preserve">klaineana</w:t>
      </w:r>
      <w:r>
        <w:t xml:space="preserve"> </w:t>
      </w:r>
      <w:r>
        <w:t xml:space="preserve">stem bark extracts.</w:t>
      </w:r>
      <w:r>
        <w:t xml:space="preserve"> </w:t>
      </w:r>
      <w:r>
        <w:rPr>
          <w:i/>
          <w:iCs/>
        </w:rPr>
        <w:t xml:space="preserve">Heliyon</w:t>
      </w:r>
      <w:r>
        <w:t xml:space="preserve"> </w:t>
      </w:r>
      <w:r>
        <w:t xml:space="preserve">10: e28025.</w:t>
      </w:r>
    </w:p>
    <w:p>
      <w:pPr>
        <w:pStyle w:val="Compact"/>
        <w:numPr>
          <w:ilvl w:val="0"/>
          <w:numId w:val="1001"/>
        </w:numPr>
      </w:pPr>
      <w:r>
        <w:t xml:space="preserve">Cliff, N. (1993, 1996); Vargha, A. &amp; Delaney, H.D. (2000).</w:t>
      </w:r>
      <w:r>
        <w:t xml:space="preserve"> </w:t>
      </w:r>
      <w:r>
        <w:rPr>
          <w:i/>
          <w:iCs/>
        </w:rPr>
        <w:t xml:space="preserve">J. Educ.</w:t>
      </w:r>
      <w:r>
        <w:rPr>
          <w:i/>
          <w:iCs/>
        </w:rPr>
        <w:t xml:space="preserve"> </w:t>
      </w:r>
      <w:r>
        <w:rPr>
          <w:i/>
          <w:iCs/>
        </w:rPr>
        <w:t xml:space="preserve">Behav. Stat.</w:t>
      </w:r>
      <w:r>
        <w:t xml:space="preserve"> </w:t>
      </w:r>
      <w:r>
        <w:t xml:space="preserve">25(2): 101–133.</w:t>
      </w:r>
    </w:p>
    <w:p>
      <w:pPr>
        <w:pStyle w:val="Compact"/>
        <w:numPr>
          <w:ilvl w:val="0"/>
          <w:numId w:val="1001"/>
        </w:numPr>
      </w:pPr>
      <w:r>
        <w:t xml:space="preserve">Conover, W.J. (1999).</w:t>
      </w:r>
      <w:r>
        <w:t xml:space="preserve"> </w:t>
      </w:r>
      <w:r>
        <w:rPr>
          <w:i/>
          <w:iCs/>
        </w:rPr>
        <w:t xml:space="preserve">Practical Nonparametric Statistics</w:t>
      </w:r>
      <w:r>
        <w:t xml:space="preserve"> </w:t>
      </w:r>
      <w:r>
        <w:t xml:space="preserve">(3rd ed.). Wiley.</w:t>
      </w:r>
    </w:p>
    <w:p>
      <w:pPr>
        <w:pStyle w:val="Compact"/>
        <w:numPr>
          <w:ilvl w:val="0"/>
          <w:numId w:val="1001"/>
        </w:numPr>
      </w:pPr>
      <w:r>
        <w:t xml:space="preserve">Datti, Y. et al. (2020). In-vivo antitrypanosomal activity of</w:t>
      </w:r>
      <w:r>
        <w:t xml:space="preserve"> </w:t>
      </w:r>
      <w:r>
        <w:rPr>
          <w:i/>
          <w:iCs/>
        </w:rPr>
        <w:t xml:space="preserve">Moringa</w:t>
      </w:r>
      <w:r>
        <w:rPr>
          <w:i/>
          <w:iCs/>
        </w:rPr>
        <w:t xml:space="preserve"> </w:t>
      </w:r>
      <w:r>
        <w:rPr>
          <w:i/>
          <w:iCs/>
        </w:rPr>
        <w:t xml:space="preserve">oleifera</w:t>
      </w:r>
      <w:r>
        <w:t xml:space="preserve"> </w:t>
      </w:r>
      <w:r>
        <w:t xml:space="preserve">leaf extract in rats.</w:t>
      </w:r>
      <w:r>
        <w:t xml:space="preserve"> </w:t>
      </w:r>
      <w:r>
        <w:rPr>
          <w:i/>
          <w:iCs/>
        </w:rPr>
        <w:t xml:space="preserve">GSC Biol. Pharm. Sci.</w:t>
      </w:r>
      <w:r>
        <w:t xml:space="preserve"> </w:t>
      </w:r>
      <w:r>
        <w:t xml:space="preserve">11(1): 12–17.</w:t>
      </w:r>
    </w:p>
    <w:p>
      <w:pPr>
        <w:pStyle w:val="Compact"/>
        <w:numPr>
          <w:ilvl w:val="0"/>
          <w:numId w:val="1001"/>
        </w:numPr>
      </w:pPr>
      <w:r>
        <w:t xml:space="preserve">Gitonga, P.K. et al. (2017). Differential virulence of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brucei</w:t>
      </w:r>
      <w:r>
        <w:t xml:space="preserve"> </w:t>
      </w:r>
      <w:r>
        <w:t xml:space="preserve">strains.</w:t>
      </w:r>
      <w:r>
        <w:t xml:space="preserve"> </w:t>
      </w:r>
      <w:r>
        <w:rPr>
          <w:i/>
          <w:iCs/>
        </w:rPr>
        <w:t xml:space="preserve">Onderstepoort J. Vet. Res.</w:t>
      </w:r>
      <w:r>
        <w:t xml:space="preserve"> </w:t>
      </w:r>
      <w:r>
        <w:t xml:space="preserve">84(1): a1412.</w:t>
      </w:r>
    </w:p>
    <w:p>
      <w:pPr>
        <w:pStyle w:val="Compact"/>
        <w:numPr>
          <w:ilvl w:val="0"/>
          <w:numId w:val="1001"/>
        </w:numPr>
      </w:pPr>
      <w:r>
        <w:t xml:space="preserve">Mann, H.B. &amp; Whitney, D.R. (1947).</w:t>
      </w:r>
      <w:r>
        <w:t xml:space="preserve"> </w:t>
      </w:r>
      <w:r>
        <w:rPr>
          <w:i/>
          <w:iCs/>
        </w:rPr>
        <w:t xml:space="preserve">Ann. Math. Statist.</w:t>
      </w:r>
      <w:r>
        <w:t xml:space="preserve"> </w:t>
      </w:r>
      <w:r>
        <w:t xml:space="preserve">18(1): 50–60.</w:t>
      </w:r>
    </w:p>
    <w:p>
      <w:pPr>
        <w:pStyle w:val="Compact"/>
        <w:numPr>
          <w:ilvl w:val="0"/>
          <w:numId w:val="1001"/>
        </w:numPr>
      </w:pPr>
      <w:r>
        <w:t xml:space="preserve">Mbaya, A.W. et al. (2010). Toxicity and antitrypanosomal activity of</w:t>
      </w:r>
      <w:r>
        <w:t xml:space="preserve"> </w:t>
      </w:r>
      <w:r>
        <w:rPr>
          <w:i/>
          <w:iCs/>
        </w:rPr>
        <w:t xml:space="preserve">A.</w:t>
      </w:r>
      <w:r>
        <w:rPr>
          <w:i/>
          <w:iCs/>
        </w:rPr>
        <w:t xml:space="preserve"> </w:t>
      </w:r>
      <w:r>
        <w:rPr>
          <w:i/>
          <w:iCs/>
        </w:rPr>
        <w:t xml:space="preserve">indica</w:t>
      </w:r>
      <w:r>
        <w:t xml:space="preserve"> </w:t>
      </w:r>
      <w:r>
        <w:t xml:space="preserve">stem bark.</w:t>
      </w:r>
      <w:r>
        <w:t xml:space="preserve"> </w:t>
      </w:r>
      <w:r>
        <w:rPr>
          <w:i/>
          <w:iCs/>
        </w:rPr>
        <w:t xml:space="preserve">J. Ethnopharmacol.</w:t>
      </w:r>
      <w:r>
        <w:t xml:space="preserve"> </w:t>
      </w:r>
      <w:r>
        <w:t xml:space="preserve">128: 495–400.</w:t>
      </w:r>
    </w:p>
    <w:p>
      <w:pPr>
        <w:pStyle w:val="Compact"/>
        <w:numPr>
          <w:ilvl w:val="0"/>
          <w:numId w:val="1001"/>
        </w:numPr>
      </w:pPr>
      <w:r>
        <w:t xml:space="preserve">Naessens, J. et al. (2005).</w:t>
      </w:r>
      <w:r>
        <w:t xml:space="preserve"> </w:t>
      </w:r>
      <w:r>
        <w:rPr>
          <w:i/>
          <w:iCs/>
        </w:rPr>
        <w:t xml:space="preserve">Clin. Exp. Immunol.</w:t>
      </w:r>
      <w:r>
        <w:t xml:space="preserve"> </w:t>
      </w:r>
      <w:r>
        <w:t xml:space="preserve">139: 449–456.</w:t>
      </w:r>
    </w:p>
    <w:p>
      <w:pPr>
        <w:pStyle w:val="Compact"/>
        <w:numPr>
          <w:ilvl w:val="0"/>
          <w:numId w:val="1001"/>
        </w:numPr>
      </w:pPr>
      <w:r>
        <w:t xml:space="preserve">Ngure, R.M. et al. (2009). Antitrypanosomal effects of neem extract on</w:t>
      </w:r>
      <w:r>
        <w:t xml:space="preserve"> </w:t>
      </w:r>
      <w:r>
        <w:rPr>
          <w:i/>
          <w:iCs/>
        </w:rPr>
        <w:t xml:space="preserve">T. brucei rhodesiense</w:t>
      </w:r>
      <w:r>
        <w:t xml:space="preserve">-infected mice.</w:t>
      </w:r>
      <w:r>
        <w:t xml:space="preserve"> </w:t>
      </w:r>
      <w:r>
        <w:rPr>
          <w:i/>
          <w:iCs/>
        </w:rPr>
        <w:t xml:space="preserve">East. J. Med.</w:t>
      </w:r>
      <w:r>
        <w:t xml:space="preserve"> </w:t>
      </w:r>
      <w:r>
        <w:t xml:space="preserve">14: 2–9.</w:t>
      </w:r>
    </w:p>
    <w:p>
      <w:pPr>
        <w:pStyle w:val="Compact"/>
        <w:numPr>
          <w:ilvl w:val="0"/>
          <w:numId w:val="1001"/>
        </w:numPr>
      </w:pPr>
      <w:r>
        <w:t xml:space="preserve">Noyes, H. et al. (2009). Mechanisms controlling anaemia in</w:t>
      </w:r>
      <w:r>
        <w:t xml:space="preserve"> </w:t>
      </w:r>
      <w:r>
        <w:rPr>
          <w:i/>
          <w:iCs/>
        </w:rPr>
        <w:t xml:space="preserve">T.</w:t>
      </w:r>
      <w:r>
        <w:rPr>
          <w:i/>
          <w:iCs/>
        </w:rPr>
        <w:t xml:space="preserve"> </w:t>
      </w:r>
      <w:r>
        <w:rPr>
          <w:i/>
          <w:iCs/>
        </w:rPr>
        <w:t xml:space="preserve">congolense</w:t>
      </w:r>
      <w:r>
        <w:t xml:space="preserve">-infected mice.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4(4): e5170.</w:t>
      </w:r>
    </w:p>
    <w:p>
      <w:pPr>
        <w:pStyle w:val="Compact"/>
        <w:numPr>
          <w:ilvl w:val="0"/>
          <w:numId w:val="1001"/>
        </w:numPr>
      </w:pPr>
      <w:r>
        <w:t xml:space="preserve">Ogbole, E. et al. (2021). Anti-trypanosomal activity and phytochemical</w:t>
      </w:r>
      <w:r>
        <w:t xml:space="preserve"> </w:t>
      </w:r>
      <w:r>
        <w:t xml:space="preserve">screening of selected</w:t>
      </w:r>
      <w:r>
        <w:t xml:space="preserve"> </w:t>
      </w:r>
      <w:r>
        <w:rPr>
          <w:i/>
          <w:iCs/>
        </w:rPr>
        <w:t xml:space="preserve">Acacia</w:t>
      </w:r>
      <w:r>
        <w:t xml:space="preserve"> </w:t>
      </w:r>
      <w:r>
        <w:t xml:space="preserve">species.</w:t>
      </w:r>
      <w:r>
        <w:t xml:space="preserve"> </w:t>
      </w:r>
      <w:r>
        <w:rPr>
          <w:i/>
          <w:iCs/>
        </w:rPr>
        <w:t xml:space="preserve">J. Chem. Soc. Nigeria</w:t>
      </w:r>
      <w:r>
        <w:t xml:space="preserve"> </w:t>
      </w:r>
      <w:r>
        <w:t xml:space="preserve">46(2).</w:t>
      </w:r>
    </w:p>
    <w:p>
      <w:pPr>
        <w:pStyle w:val="Compact"/>
        <w:numPr>
          <w:ilvl w:val="0"/>
          <w:numId w:val="1001"/>
        </w:numPr>
      </w:pPr>
      <w:r>
        <w:t xml:space="preserve">Okoh, M.E. (2018). In-vivo anti-trypanosomal activity of aqueous</w:t>
      </w:r>
      <w:r>
        <w:t xml:space="preserve"> </w:t>
      </w:r>
      <w:r>
        <w:rPr>
          <w:i/>
          <w:iCs/>
        </w:rPr>
        <w:t xml:space="preserve">A.</w:t>
      </w:r>
      <w:r>
        <w:rPr>
          <w:i/>
          <w:iCs/>
        </w:rPr>
        <w:t xml:space="preserve"> </w:t>
      </w:r>
      <w:r>
        <w:rPr>
          <w:i/>
          <w:iCs/>
        </w:rPr>
        <w:t xml:space="preserve">indica</w:t>
      </w:r>
      <w:r>
        <w:t xml:space="preserve"> </w:t>
      </w:r>
      <w:r>
        <w:t xml:space="preserve">leaves on</w:t>
      </w:r>
      <w:r>
        <w:t xml:space="preserve"> </w:t>
      </w:r>
      <w:r>
        <w:rPr>
          <w:i/>
          <w:iCs/>
        </w:rPr>
        <w:t xml:space="preserve">T. brucei brucei</w:t>
      </w:r>
      <w:r>
        <w:t xml:space="preserve">-infected mice.</w:t>
      </w:r>
      <w:r>
        <w:t xml:space="preserve"> </w:t>
      </w:r>
      <w:r>
        <w:rPr>
          <w:i/>
          <w:iCs/>
        </w:rPr>
        <w:t xml:space="preserve">Int. J. Infect. Dis.</w:t>
      </w:r>
      <w:r>
        <w:rPr>
          <w:i/>
          <w:iCs/>
        </w:rPr>
        <w:t xml:space="preserve"> </w:t>
      </w:r>
      <w:r>
        <w:rPr>
          <w:i/>
          <w:iCs/>
        </w:rPr>
        <w:t xml:space="preserve">Ther.</w:t>
      </w:r>
      <w:r>
        <w:t xml:space="preserve"> </w:t>
      </w:r>
      <w:r>
        <w:t xml:space="preserve">3(1).</w:t>
      </w:r>
    </w:p>
    <w:p>
      <w:pPr>
        <w:pStyle w:val="Compact"/>
        <w:numPr>
          <w:ilvl w:val="0"/>
          <w:numId w:val="1001"/>
        </w:numPr>
      </w:pPr>
      <w:r>
        <w:t xml:space="preserve">Rabe, Y. et al. (2024). In-vitro study of</w:t>
      </w:r>
      <w:r>
        <w:t xml:space="preserve"> </w:t>
      </w:r>
      <w:r>
        <w:rPr>
          <w:i/>
          <w:iCs/>
        </w:rPr>
        <w:t xml:space="preserve">A. indica</w:t>
      </w:r>
      <w:r>
        <w:t xml:space="preserve">,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C.ymbopogon</w:t>
      </w:r>
      <w:r>
        <w:t xml:space="preserve"> </w:t>
      </w:r>
      <w:r>
        <w:t xml:space="preserve">leaf extracts against diminazene-resistant</w:t>
      </w:r>
      <w:r>
        <w:t xml:space="preserve"> </w:t>
      </w:r>
      <w:r>
        <w:rPr>
          <w:i/>
          <w:iCs/>
        </w:rPr>
        <w:t xml:space="preserve">T. brucei</w:t>
      </w:r>
      <w:r>
        <w:rPr>
          <w:i/>
          <w:iCs/>
        </w:rPr>
        <w:t xml:space="preserve"> </w:t>
      </w:r>
      <w:r>
        <w:rPr>
          <w:i/>
          <w:iCs/>
        </w:rPr>
        <w:t xml:space="preserve">brucei</w:t>
      </w:r>
      <w:r>
        <w:t xml:space="preserve">.</w:t>
      </w:r>
      <w:r>
        <w:t xml:space="preserve"> </w:t>
      </w:r>
      <w:r>
        <w:rPr>
          <w:i/>
          <w:iCs/>
        </w:rPr>
        <w:t xml:space="preserve">SAJOLS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Sirak, B. et al. (2024). In-vitro and in-vivo antitrypanosomal activity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Ranunculus multifidus</w:t>
      </w:r>
      <w:r>
        <w:t xml:space="preserve"> </w:t>
      </w:r>
      <w:r>
        <w:t xml:space="preserve">and anemonin against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.</w:t>
      </w:r>
      <w:r>
        <w:t xml:space="preserve"> </w:t>
      </w:r>
      <w:r>
        <w:rPr>
          <w:i/>
          <w:iCs/>
        </w:rPr>
        <w:t xml:space="preserve">BMC</w:t>
      </w:r>
      <w:r>
        <w:rPr>
          <w:i/>
          <w:iCs/>
        </w:rPr>
        <w:t xml:space="preserve"> </w:t>
      </w:r>
      <w:r>
        <w:rPr>
          <w:i/>
          <w:iCs/>
        </w:rPr>
        <w:t xml:space="preserve">Vet. Res.</w:t>
      </w:r>
      <w:r>
        <w:t xml:space="preserve"> </w:t>
      </w:r>
      <w:r>
        <w:t xml:space="preserve">20: 38 (article 03856).</w:t>
      </w:r>
    </w:p>
    <w:p>
      <w:pPr>
        <w:pStyle w:val="Compact"/>
        <w:numPr>
          <w:ilvl w:val="0"/>
          <w:numId w:val="1001"/>
        </w:numPr>
      </w:pPr>
      <w:r>
        <w:t xml:space="preserve">Spearman, C. (1904).</w:t>
      </w:r>
      <w:r>
        <w:t xml:space="preserve"> </w:t>
      </w:r>
      <w:r>
        <w:rPr>
          <w:i/>
          <w:iCs/>
        </w:rPr>
        <w:t xml:space="preserve">Am. J. Psychol.</w:t>
      </w:r>
      <w:r>
        <w:t xml:space="preserve"> </w:t>
      </w:r>
      <w:r>
        <w:t xml:space="preserve">15(1): 72–85.</w:t>
      </w:r>
    </w:p>
    <w:p>
      <w:pPr>
        <w:pStyle w:val="Compact"/>
        <w:numPr>
          <w:ilvl w:val="0"/>
          <w:numId w:val="1001"/>
        </w:numPr>
      </w:pPr>
      <w:r>
        <w:t xml:space="preserve">Tauheed, A. et al. (2021). Partially purified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leaf fractions</w:t>
      </w:r>
      <w:r>
        <w:t xml:space="preserve"> </w:t>
      </w:r>
      <w:r>
        <w:t xml:space="preserve">inhibit trypanosome alternative oxidase.</w:t>
      </w:r>
      <w:r>
        <w:t xml:space="preserve"> </w:t>
      </w:r>
      <w:r>
        <w:rPr>
          <w:i/>
          <w:iCs/>
        </w:rPr>
        <w:t xml:space="preserve">PMC</w:t>
      </w:r>
      <w:r>
        <w:t xml:space="preserve"> </w:t>
      </w:r>
      <w:r>
        <w:t xml:space="preserve">8217781.</w:t>
      </w:r>
    </w:p>
    <w:p>
      <w:pPr>
        <w:pStyle w:val="Compact"/>
        <w:numPr>
          <w:ilvl w:val="0"/>
          <w:numId w:val="1001"/>
        </w:numPr>
      </w:pPr>
      <w:r>
        <w:t xml:space="preserve">Ujah, F.O. et al. (2020). In-vitro and in-vivo effect of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seed extract on</w:t>
      </w:r>
      <w:r>
        <w:t xml:space="preserve"> </w:t>
      </w:r>
      <w:r>
        <w:rPr>
          <w:i/>
          <w:iCs/>
        </w:rPr>
        <w:t xml:space="preserve">T. brucei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in rats.</w:t>
      </w:r>
      <w:r>
        <w:t xml:space="preserve"> </w:t>
      </w:r>
      <w:r>
        <w:rPr>
          <w:i/>
          <w:iCs/>
        </w:rPr>
        <w:t xml:space="preserve">Int. J. Green</w:t>
      </w:r>
      <w:r>
        <w:rPr>
          <w:i/>
          <w:iCs/>
        </w:rPr>
        <w:t xml:space="preserve"> </w:t>
      </w:r>
      <w:r>
        <w:rPr>
          <w:i/>
          <w:iCs/>
        </w:rPr>
        <w:t xml:space="preserve">Herb. Chem.</w:t>
      </w:r>
      <w:r>
        <w:t xml:space="preserve"> </w:t>
      </w:r>
      <w:r>
        <w:t xml:space="preserve">9(2).</w:t>
      </w:r>
    </w:p>
    <w:p>
      <w:pPr>
        <w:pStyle w:val="Compact"/>
        <w:numPr>
          <w:ilvl w:val="0"/>
          <w:numId w:val="1001"/>
        </w:numPr>
      </w:pPr>
      <w:r>
        <w:t xml:space="preserve">Wanzala, E.N. et al. (2017). In-vitro and in-vivo anti-trypanosomal</w:t>
      </w:r>
      <w:r>
        <w:t xml:space="preserve"> </w:t>
      </w:r>
      <w:r>
        <w:t xml:space="preserve">activities of methanol extract of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stem bark.</w:t>
      </w:r>
      <w:r>
        <w:t xml:space="preserve"> </w:t>
      </w:r>
      <w:r>
        <w:rPr>
          <w:i/>
          <w:iCs/>
        </w:rPr>
        <w:t xml:space="preserve">Afr. J. Trad.</w:t>
      </w:r>
      <w:r>
        <w:rPr>
          <w:i/>
          <w:iCs/>
        </w:rPr>
        <w:t xml:space="preserve"> </w:t>
      </w:r>
      <w:r>
        <w:rPr>
          <w:i/>
          <w:iCs/>
        </w:rPr>
        <w:t xml:space="preserve">Complement. Altern. Med.</w:t>
      </w:r>
      <w:r>
        <w:t xml:space="preserve"> </w:t>
      </w:r>
      <w:r>
        <w:t xml:space="preserve">14(6).</w:t>
      </w:r>
    </w:p>
    <w:p>
      <w:pPr>
        <w:pStyle w:val="Compact"/>
        <w:numPr>
          <w:ilvl w:val="0"/>
          <w:numId w:val="1001"/>
        </w:numPr>
      </w:pPr>
      <w:r>
        <w:t xml:space="preserve">Wilcoxon, F. (1945).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1(1): 86–89.</w:t>
      </w:r>
    </w:p>
    <w:bookmarkEnd w:id="92"/>
    <w:p>
      <w:r>
        <w:br w:type="page"/>
      </w:r>
    </w:p>
    <w:sectPr>
      <w:footnotePr>
        <w:numRestart w:val="eachSect"/>
      </w:footnotePr>
    </w:sectPr>
    <w:p>
      <w:pPr>
        <w:pStyle w:val="Heading1"/>
      </w:pPr>
      <w:r>
        <w:t xml:space="preserve">Appendix: Objectives, Variables and Statistical Methods</w:t>
      </w:r>
    </w:p>
    <w:p>
      <w:pPr>
        <w:pStyle w:val="Normal"/>
      </w:pPr>
      <w:r>
        <w:t xml:space="preserve">Comparative anti-trypanosomal activity of Azadirachta indica and Moringa oleifera against Trypanosoma congolense and T. evansi. Companion methods document to the statistical report (report.docx).</w:t>
      </w:r>
    </w:p>
    <w:p>
      <w:pPr>
        <w:pStyle w:val="Heading2"/>
      </w:pPr>
      <w:r>
        <w:t xml:space="preserve">1. Aim and specific objectives (verbatim, thesis S1.8)</w:t>
      </w:r>
    </w:p>
    <w:p>
      <w:pPr>
        <w:pStyle w:val="Normal"/>
      </w:pPr>
      <w:r>
        <w:t xml:space="preserve">Aim (S1.8.1). The aim of this study is to comparatively evaluate the anti-trypanosomal activity of methanolic extracts of the leaves, stem bark, roots and seeds of Azadirachta indica and Moringa oleifera against Trypanosoma congolense and T. evansi.</w:t>
      </w:r>
    </w:p>
    <w:p>
      <w:pPr>
        <w:pStyle w:val="Normal"/>
      </w:pPr>
      <w:r>
        <w:t xml:space="preserve">Specific objectives (S1.8.2):</w:t>
      </w:r>
    </w:p>
    <w:p>
      <w:pPr>
        <w:pStyle w:val="Normal"/>
      </w:pPr>
      <w:r>
        <w:t xml:space="preserve">• i. To extract methanolic contents from the leaves, stem bark, roots and seeds of Azadirachta indica and Moringa oleifera using standard phytochemical extraction protocols.</w:t>
      </w:r>
    </w:p>
    <w:p>
      <w:pPr>
        <w:pStyle w:val="Normal"/>
      </w:pPr>
      <w:r>
        <w:t xml:space="preserve">• ii. To identify and characterise phytochemical contents of the extracts.</w:t>
      </w:r>
    </w:p>
    <w:p>
      <w:pPr>
        <w:pStyle w:val="Normal"/>
      </w:pPr>
      <w:r>
        <w:t xml:space="preserve">• iii. To determine the in vitro anti-trypanosomal activity of different concentrations of the plant extracts (100mg/ml, 10mg/ml, 0.5mg/ml, 0.01mg/ml and 0.005mg/ml) against T. congolense and T. evansi using the parasite motility assay.</w:t>
      </w:r>
    </w:p>
    <w:p>
      <w:pPr>
        <w:pStyle w:val="Normal"/>
      </w:pPr>
      <w:r>
        <w:t xml:space="preserve">• iv. To determine the infectivity of the product of No. iii. above in albino mice, monitoring body weight, parasitaemia and packed cell volume (PCV).</w:t>
      </w:r>
    </w:p>
    <w:p>
      <w:pPr>
        <w:pStyle w:val="Normal"/>
      </w:pPr>
      <w:r>
        <w:t xml:space="preserve">• v. To comparatively evaluate the efficacy of A. indica versus M. oleifera extracts against both trypanosome species and determine the superior anti-trypanosomal agent.</w:t>
      </w:r>
    </w:p>
    <w:p>
      <w:pPr>
        <w:pStyle w:val="Heading2"/>
      </w:pPr>
      <w:r>
        <w:t xml:space="preserve">2. Objectives x variables x methods</w:t>
      </w:r>
    </w:p>
    <w:p>
      <w:pPr>
        <w:pStyle w:val="Normal"/>
      </w:pPr>
      <w:r>
        <w:t xml:space="preserve">Each CSV row is a group mean of n = 3 mice, so within any plant x part x parasite block each group is n = 1 (descriptive only). The analytical unit is the block (N = 16).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Objectives, variables and statistical methods.</w:t>
      </w:r>
    </w:p>
    <w:tbl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Objective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Method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Expected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ii. Phytochemical profile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plant, part, compound, present (phytochemical.csv)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 screen, n=8 combos: no test has power; descriptive only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Richness counts, presence matrix, co-occurrence; efficacy overlay exploratory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inventory per plant/part feeding objective v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iii. Motility dose-response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concentration_mgml (5 ordered) x motile over time_min; endpoints TTI, t120, mean-motile (motility.csv)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 x ordered dose x repeated times; +- undefined per source 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Jonckheere-Terpstra trend pooled per parasite; Holm-Wilcoxon each dose vs NC; Cliff's delta +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Monotonic kill trend? Lowest dose beating NC?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iv. Parasitaemia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lev 0-5 by day; endpoints AUC + peak + clearance + day-40 (parasitemia.csv, +lev_raw)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Longitudinal ordinal + informative dropout (death); day-40 degenerate (0/112 positive)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Block level: Wilcoxon signed-rank (paired, 8 pairs) / Mann-Whitney (8v8) + Cliff's delta + CI; Spearman log-dose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Treated vs NC LEV/AUC difference; dose monotonicity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iv. Weight / PCV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weight_g, pcv at Pre/Infection/Post -&gt; delta = Post-Pre (weight.csv, pcv.csv)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Continuous but batch-shifted baselines (19-29 g); deltas adjust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Same rank framework on delta + toxicity/anemia flags (see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Efficacy without toxicity; anemia protection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v. Superiority A. indica vs M. oleifera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Paired day-40 LEV + AUC + t120 summaries, 8 part x parasite pairs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Same part x parasite pairing isolates the plant effect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Wilcoxon signed-rank + Cliff's delta + CI; forest of paired differences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Superior agent - only if effect + CI support it at N=8</w:t>
            </w:r>
          </w:p>
        </w:tc>
      </w:tr>
    </w:tbl>
    <w:p>
      <w:pPr>
        <w:pStyle w:val="Heading2"/>
      </w:pPr>
      <w:r>
        <w:t xml:space="preserve">3. Both-endpoints rationale</w:t>
      </w:r>
    </w:p>
    <w:p>
      <w:pPr>
        <w:pStyle w:val="Normal"/>
      </w:pPr>
      <w:r>
        <w:t xml:space="preserve">Every outcome is summarised twice: once at the end of observation and once cumulatively. A fast killer and a slow killer can tie at the endpoint but differ cumulatively; a late rebound looks like failure at the endpoint only. Concretely: day-40 LEV (snapshot: final load) + AUC over days 1-40 (total burden); motility t120 (who is still moving) + time-to-immobilisation (how fast); weight/PCV Post value + delta Post-Pre (net change, adjusting batch-shifted baselines). Superiority (objective v) must hold at endpoint AND cumulatively to convince.</w:t>
      </w:r>
    </w:p>
    <w:p>
      <w:pPr>
        <w:pStyle w:val="Normal"/>
      </w:pPr>
      <w:r>
        <w:t xml:space="preserve">Day-40 LEV proved degenerate (0 of 112 groups positive: 68 zeros, 44 dead; positivity peaks near 30% around days 9-14), so AUC/peak/clearance are primary and day-40 is supporting - not the reverse.</w:t>
      </w:r>
    </w:p>
    <w:p>
      <w:pPr>
        <w:pStyle w:val="Heading2"/>
      </w:pPr>
      <w:r>
        <w:t xml:space="preserve">4. Handling rules (locked decisions)</w:t>
      </w:r>
    </w:p>
    <w:p>
      <w:pPr>
        <w:pStyle w:val="Normal"/>
      </w:pPr>
      <w:r>
        <w:t xml:space="preserve">• Death/censoring. NA in weight, PCV and parasitaemia means the animal died before measurement (adopted convention - Sheet 2 never states it; never imputed). AUC is computed over observed days only and always reported alongside mortality: low AUC with high mortality reads as toxicity/failure, not efficacy.</w:t>
      </w:r>
    </w:p>
    <w:p>
      <w:pPr>
        <w:pStyle w:val="Normal"/>
      </w:pPr>
      <w:r>
        <w:t xml:space="preserve">• Failed challenges. Audit (2026-09-11) shows every block reaches LEV 5 including Negative Controls, in both old and new CSVs - there are no failed-challenge blocks, so no exclusions apply. The earlier 'all-zero T. evansi blocks' note is withdrawn.</w:t>
      </w:r>
    </w:p>
    <w:p>
      <w:pPr>
        <w:pStyle w:val="Normal"/>
      </w:pPr>
      <w:r>
        <w:t xml:space="preserve">• Controls. Kept as bare labels Negative Control / Positive Control (identities and doses not stated in Sheet 2). Positive Control is an assay-validity reference only, not a non-inferiority comparator.</w:t>
      </w:r>
    </w:p>
    <w:p>
      <w:pPr>
        <w:pStyle w:val="Normal"/>
      </w:pPr>
      <w:r>
        <w:t xml:space="preserve">• Motility key. '+ Active motility; - No motility' (all 16 footnotes); '+-' undefined -&gt; NA (2 cells, both Negative Control t=120, T. congolense). Empty continuation rows of the split Negative/control label are skipped by the parser so Positive Control rows hold real data.</w:t>
      </w:r>
    </w:p>
    <w:p>
      <w:pPr>
        <w:pStyle w:val="Normal"/>
      </w:pPr>
      <w:r>
        <w:t xml:space="preserve">• Flag standards (recent literature). Anemia: Post PCV &lt; 35% or &gt;= 25% relative drop from Pre; severe: &lt; 30% or &gt;= 40% drop (Noyes et al. 2009 PLoS ONE; Naessens et al. 2005; Gitonga et al. 2017; normal mouse PCV ~40-58%). Weight toxicity signal: &gt;= 10% loss from Pre (~-2 g); severe: &gt;= 20% (standard humane-endpoint range). Flags are descriptive overlays, not test outcomes.</w:t>
      </w:r>
    </w:p>
    <w:p>
      <w:pPr>
        <w:pStyle w:val="Heading2"/>
      </w:pPr>
      <w:r>
        <w:t xml:space="preserve">5. Method references</w:t>
      </w:r>
    </w:p>
    <w:p>
      <w:pPr>
        <w:pStyle w:val="Normal"/>
      </w:pPr>
      <w:r>
        <w:t xml:space="preserve">Conover (1999) Practical Nonparametric Statistics; Mann &amp; Whitney (1947); Wilcoxon (1945); Cliff (1993, 1996) and Vargha &amp; Delaney (2000) for delta thresholds 0.11/0.28/0.43; Spearman (1904); Jonckheere (1954) / Terpstra (1952) for ordered alternatives; Herbert &amp; Lumsden (1976) as the origin of the LEV matching scale (verify against thesis methods).</w:t>
      </w:r>
    </w:p>
    <w:p>
      <w:pPr>
        <w:pStyle w:val="Heading2"/>
      </w:pPr>
      <w:r>
        <w:t xml:space="preserve">Appendix. Superseded S3.10 analysis text (recorded, not used)</w:t>
      </w:r>
    </w:p>
    <w:p>
      <w:pPr>
        <w:pStyle w:val="Normal"/>
      </w:pPr>
      <w:r>
        <w:t xml:space="preserve">The thesis draft S3.10 proposed one-way ANOVA + Tukey HSD on group means (SPSS v26) with Kruskal-Wallis / Mann-Whitney for motility, mean +/- SEM, p &lt; 0.05. This is rejected for this dataset: n = 1 per group per block (no within-cell variance), LEV ordinal (normality violated), days/times are repeated measures, death-NA is informative, and treating 4480 rows as independent is pseudoreplication. Replaced by the block-level rank methods in S2 above, with effects + CIs and Holm control. Mean +/- SEM on ordinal LEV is not reported.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color="auto" w:space="0" w:sz="0" w:val="nil"/>
        <w:right w:color="auto" w:space="0" w:sz="0" w:val="nil"/>
        <w:insideH w:color="auto" w:space="0" w:sz="0" w:val="nil"/>
        <w:insideV w:color="auto" w:space="0" w:sz="0" w:val="nil"/>
      </w:tblBorders>
    </w:tblPr>
    <w:tblStylePr w:type="firstRow">
      <w:tcPr>
        <w:tcBorders>
          <w:bottom w:val="single"/>
        </w:tcBorders>
        <w:vAlign w:val="bottom"/>
      </w:tcPr>
      <w:rPr>
        <w:b/>
      </w:rPr>
      <w:trPr/>
      <w:pBdr>
        <w:bottom w:color="000000" w:space="1" w:sz="8" w:val="single"/>
      </w:pBd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hAnsi="Times New Roman"/>
      <w:sz w:val="24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85" Type="http://schemas.openxmlformats.org/officeDocument/2006/relationships/image" Target="media/rId85.png"/><Relationship Id="rId43" Type="http://schemas.openxmlformats.org/officeDocument/2006/relationships/image" Target="media/rId43.png"/><Relationship Id="rId39" Type="http://schemas.openxmlformats.org/officeDocument/2006/relationships/image" Target="media/rId39.png"/><Relationship Id="rId17" Type="http://schemas.openxmlformats.org/officeDocument/2006/relationships/image" Target="media/rId17.png"/><Relationship Id="rId27" Type="http://schemas.openxmlformats.org/officeDocument/2006/relationships/image" Target="media/rId27.png"/><Relationship Id="rId59" Type="http://schemas.openxmlformats.org/officeDocument/2006/relationships/image" Target="media/rId59.png"/><Relationship Id="rId31" Type="http://schemas.openxmlformats.org/officeDocument/2006/relationships/image" Target="media/rId31.png"/><Relationship Id="rId53" Type="http://schemas.openxmlformats.org/officeDocument/2006/relationships/image" Target="media/rId53.png"/><Relationship Id="rId68" Type="http://schemas.openxmlformats.org/officeDocument/2006/relationships/image" Target="media/rId68.png"/><Relationship Id="rId21" Type="http://schemas.openxmlformats.org/officeDocument/2006/relationships/image" Target="media/rId21.png"/><Relationship Id="rId75" Type="http://schemas.openxmlformats.org/officeDocument/2006/relationships/image" Target="media/rId75.png"/><Relationship Id="rId79" Type="http://schemas.openxmlformats.org/officeDocument/2006/relationships/image" Target="media/rId79.png"/><Relationship Id="rId64" Type="http://schemas.openxmlformats.org/officeDocument/2006/relationships/image" Target="media/rId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Comparative Anti-Trypanosomal Activity of Azadirachta indica and Moringa oleifera against Trypanosoma congolense and T. evansi — Statistical Report</dc:title>
  <dc:creator/>
  <cp:keywords/>
  <dcterms:created xsi:type="dcterms:W3CDTF">2026-09-11T02:58:11Z</dcterms:created>
  <dcterms:modified xsi:type="dcterms:W3CDTF">2026-09-11T02:58:11Z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f">
    <vt:lpwstr>True</vt:lpwstr>
  </property>
  <property fmtid="{D5CDD505-2E9C-101B-9397-08002B2CF9AE}" pid="10" name="lot">
    <vt:lpwstr>True</vt:lpwstr>
  </property>
  <property fmtid="{D5CDD505-2E9C-101B-9397-08002B2CF9AE}" pid="11" name="toc-title">
    <vt:lpwstr>Table of contents</vt:lpwstr>
  </property>
</Properties>
</file>