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56.png" ContentType="image/png"/>
  <Override PartName="/word/media/rId22.png" ContentType="image/png"/>
  <Override PartName="/word/media/rId33.png" ContentType="image/png"/>
  <Override PartName="/word/media/rId43.png" ContentType="image/png"/>
  <Override PartName="/word/media/rId15.png" ContentType="image/png"/>
  <Override PartName="/word/media/rId50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im-objectives-and-section-map"/>
    <w:p>
      <w:pPr>
        <w:pStyle w:val="Heading2"/>
      </w:pPr>
      <w:r>
        <w:t xml:space="preserve">1 1. Aim, objectives and section map</w:t>
      </w:r>
    </w:p>
    <w:p>
      <w:pPr>
        <w:pStyle w:val="FirstParagraph"/>
      </w:pPr>
      <w:r>
        <w:t xml:space="preserve">The aim of this study is to comparatively evaluate the anti-trypanosomal</w:t>
      </w:r>
      <w:r>
        <w:t xml:space="preserve"> </w:t>
      </w:r>
      <w:r>
        <w:t xml:space="preserve">activity of methanolic extracts of the leaves, stem bark, roots and seeds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 Each specific objective (§1.8.2) is addressed</w:t>
      </w:r>
      <w:r>
        <w:t xml:space="preserve"> </w:t>
      </w:r>
      <w:r>
        <w:t xml:space="preserve">in a dedicated results section: extraction (i) in §5.1, phytochemical</w:t>
      </w:r>
      <w:r>
        <w:t xml:space="preserve"> </w:t>
      </w:r>
      <w:r>
        <w:t xml:space="preserve">characterisation (ii) in §5.2, the in-vitro motility assay (iii) in §5.3,</w:t>
      </w:r>
      <w:r>
        <w:t xml:space="preserve"> </w:t>
      </w:r>
      <w:r>
        <w:t xml:space="preserve">in-vivo infectivity monitoring (iv) in §5.4, and the comparative superiority</w:t>
      </w:r>
      <w:r>
        <w:t xml:space="preserve"> </w:t>
      </w:r>
      <w:r>
        <w:t xml:space="preserve">assessment (v) in §5.5. The analysis protocol, diagnostic checks and</w:t>
      </w:r>
      <w:r>
        <w:t xml:space="preserve"> </w:t>
      </w:r>
      <w:r>
        <w:t xml:space="preserve">limitations follow in §6–§7.</w:t>
      </w:r>
    </w:p>
    <w:bookmarkEnd w:id="9"/>
    <w:bookmarkStart w:id="10" w:name="data-and-experimental-design"/>
    <w:p>
      <w:pPr>
        <w:pStyle w:val="Heading2"/>
      </w:pPr>
      <w:r>
        <w:t xml:space="preserve">2 2. Data and experimental design</w:t>
      </w:r>
    </w:p>
    <w:p>
      <w:pPr>
        <w:pStyle w:val="FirstParagraph"/>
      </w:pPr>
      <w:r>
        <w:t xml:space="preserve">Source data are group means of n = 3 mice per group, parsed from Sheet 2 of</w:t>
      </w:r>
      <w:r>
        <w:t xml:space="preserve"> </w:t>
      </w:r>
      <w:r>
        <w:t xml:space="preserve">the study workbook into tidy CSVs (</w:t>
      </w:r>
      <w:r>
        <w:rPr>
          <w:rStyle w:val="VerbatimChar"/>
        </w:rPr>
        <w:t xml:space="preserve">analysis/data/</w:t>
      </w:r>
      <w:r>
        <w:t xml:space="preserve">, builder</w:t>
      </w:r>
      <w:r>
        <w:t xml:space="preserve"> </w:t>
      </w:r>
      <w:r>
        <w:rPr>
          <w:rStyle w:val="VerbatimChar"/>
        </w:rPr>
        <w:t xml:space="preserve">analysis/R/01_build_datasets.R</w:t>
      </w:r>
      <w:r>
        <w:t xml:space="preserve">). Within any plant × part × parasite block,</w:t>
      </w:r>
      <w:r>
        <w:t xml:space="preserve"> </w:t>
      </w:r>
      <w:r>
        <w:t xml:space="preserve">each of the 7 groups (five concentrations plus two controls) is therefore</w:t>
      </w:r>
      <w:r>
        <w:t xml:space="preserve"> </w:t>
      </w:r>
      <w:r>
        <w:t xml:space="preserve">n = 1 and supports description only. The analytical unit throughout is the</w:t>
      </w:r>
      <w:r>
        <w:t xml:space="preserve"> </w:t>
      </w:r>
      <w:r>
        <w:rPr>
          <w:b/>
          <w:bCs/>
        </w:rPr>
        <w:t xml:space="preserve">block (N = 16; 8 per plant, 8 per parasite)</w:t>
      </w:r>
      <w:r>
        <w:t xml:space="preserve">. Plant contrasts pair blocks</w:t>
      </w:r>
      <w:r>
        <w:t xml:space="preserve"> </w:t>
      </w:r>
      <w:r>
        <w:t xml:space="preserve">by part × parasite (8 pairs); parasite contrasts pair by plant × part</w:t>
      </w:r>
      <w:r>
        <w:t xml:space="preserve"> </w:t>
      </w:r>
      <w:r>
        <w:t xml:space="preserve">(8 pairs). Treatments appear as labelled in the source — Negative Control and</w:t>
      </w:r>
      <w:r>
        <w:t xml:space="preserve"> </w:t>
      </w:r>
      <w:r>
        <w:t xml:space="preserve">Positive Control, whose identities and doses are not stated in Sheet 2 — so</w:t>
      </w:r>
      <w:r>
        <w:t xml:space="preserve"> </w:t>
      </w:r>
      <w:r>
        <w:t xml:space="preserve">the Positive Control serves as an assay-validity reference only, not as a</w:t>
      </w:r>
      <w:r>
        <w:t xml:space="preserve"> </w:t>
      </w:r>
      <w:r>
        <w:t xml:space="preserve">non-inferiority comparator.</w:t>
      </w:r>
    </w:p>
    <w:bookmarkEnd w:id="10"/>
    <w:bookmarkStart w:id="11" w:name="endpoints"/>
    <w:p>
      <w:pPr>
        <w:pStyle w:val="Heading2"/>
      </w:pPr>
      <w:r>
        <w:t xml:space="preserve">3 3. Endpoints</w:t>
      </w:r>
    </w:p>
    <w:p>
      <w:pPr>
        <w:pStyle w:val="FirstParagraph"/>
      </w:pPr>
      <w:r>
        <w:t xml:space="preserve">Parasitaemia is recorded on the ordinal LEV scale (0–5). Because day-40 LEV</w:t>
      </w:r>
      <w:r>
        <w:t xml:space="preserve"> </w:t>
      </w:r>
      <w:r>
        <w:t xml:space="preserve">proved degenerate (0 of 112 groups positive at day 40 — 68 zeros and 44</w:t>
      </w:r>
      <w:r>
        <w:t xml:space="preserve"> </w:t>
      </w:r>
      <w:r>
        <w:t xml:space="preserve">deaths — while positivity peaks near 30% around days 9–14), the primary</w:t>
      </w:r>
      <w:r>
        <w:t xml:space="preserve"> </w:t>
      </w:r>
      <w:r>
        <w:t xml:space="preserve">parasitaemia endpoint is the</w:t>
      </w:r>
      <w:r>
        <w:t xml:space="preserve"> </w:t>
      </w:r>
      <w:r>
        <w:rPr>
          <w:b/>
          <w:bCs/>
        </w:rPr>
        <w:t xml:space="preserve">AUC</w:t>
      </w:r>
      <w:r>
        <w:t xml:space="preserve"> </w:t>
      </w:r>
      <w:r>
        <w:t xml:space="preserve">(death-censored trapezoidal sum over</w:t>
      </w:r>
      <w:r>
        <w:t xml:space="preserve"> </w:t>
      </w:r>
      <w:r>
        <w:t xml:space="preserve">observed days, always reported alongside mortality), supported by peak LEV,</w:t>
      </w:r>
      <w:r>
        <w:t xml:space="preserve"> </w:t>
      </w:r>
      <w:r>
        <w:t xml:space="preserve">clearance day and day-40 status. Motility (+/−) is summarised per group as</w:t>
      </w:r>
      <w:r>
        <w:t xml:space="preserve"> </w:t>
      </w:r>
      <w:r>
        <w:t xml:space="preserve">time-to-immobilisation (TTI), proportion motile at t = 120 and mean proportion</w:t>
      </w:r>
      <w:r>
        <w:t xml:space="preserve"> </w:t>
      </w:r>
      <w:r>
        <w:t xml:space="preserve">motile; the source key defines only</w:t>
      </w:r>
      <w:r>
        <w:t xml:space="preserve"> </w:t>
      </w:r>
      <w:r>
        <w:rPr>
          <w:rStyle w:val="VerbatimChar"/>
        </w:rPr>
        <w:t xml:space="preserve">+ Active motility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+-</w:t>
      </w:r>
      <w:r>
        <w:t xml:space="preserve"> </w:t>
      </w:r>
      <w:r>
        <w:t xml:space="preserve">is undefined and was set to NA, 2 cells). Body weight and PCV use</w:t>
      </w:r>
      <w:r>
        <w:t xml:space="preserve"> </w:t>
      </w:r>
      <w:r>
        <w:t xml:space="preserve">Δ = Post-Infection − Pre-Infection with literature-standard flags — anaemia at</w:t>
      </w:r>
      <w:r>
        <w:t xml:space="preserve"> </w:t>
      </w:r>
      <w:r>
        <w:t xml:space="preserve">Post PCV &lt; 35% or ≥ 25% relative drop (severe: &lt; 30% or ≥ 40%; Noyes et al.</w:t>
      </w:r>
      <w:r>
        <w:t xml:space="preserve"> </w:t>
      </w:r>
      <w:r>
        <w:t xml:space="preserve">2009; Naessens et al. 2005; Gitonga et al. 2017) and weight-toxicity signal at</w:t>
      </w:r>
      <w:r>
        <w:t xml:space="preserve"> </w:t>
      </w:r>
      <w:r>
        <w:t xml:space="preserve">≥ 10% loss (severe: ≥ 20%, the standard humane-endpoint range). Raw LEV</w:t>
      </w:r>
      <w:r>
        <w:t xml:space="preserve"> </w:t>
      </w:r>
      <w:r>
        <w:t xml:space="preserve">values above the 0–5 scale (42 cells: 41 decimals 5.01–5.3 plus one LEV = 6)</w:t>
      </w:r>
      <w:r>
        <w:t xml:space="preserve"> </w:t>
      </w:r>
      <w:r>
        <w:t xml:space="preserve">were capped to 5 with pre-cap values preserved (</w:t>
      </w:r>
      <w:r>
        <w:rPr>
          <w:rStyle w:val="VerbatimChar"/>
        </w:rPr>
        <w:t xml:space="preserve">lev_raw</w:t>
      </w:r>
      <w:r>
        <w:t xml:space="preserve">) and flagged.</w:t>
      </w:r>
      <w:r>
        <w:t xml:space="preserve"> </w:t>
      </w:r>
      <w:r>
        <w:t xml:space="preserve">Missing in-vivo values are treated as animal death — an adopted convention,</w:t>
      </w:r>
      <w:r>
        <w:t xml:space="preserve"> </w:t>
      </w:r>
      <w:r>
        <w:t xml:space="preserve">since Sheet 2 never states it — and are never imputed.</w:t>
      </w:r>
    </w:p>
    <w:bookmarkEnd w:id="11"/>
    <w:bookmarkStart w:id="12" w:name="statistical-methods"/>
    <w:p>
      <w:pPr>
        <w:pStyle w:val="Heading2"/>
      </w:pPr>
      <w:r>
        <w:t xml:space="preserve">4 4. Statistical methods</w:t>
      </w:r>
    </w:p>
    <w:p>
      <w:pPr>
        <w:pStyle w:val="FirstParagraph"/>
      </w:pPr>
      <w:r>
        <w:t xml:space="preserve">Descriptive analysis is primary: trajectory plots per block, endpoint tables,</w:t>
      </w:r>
      <w:r>
        <w:t xml:space="preserve"> </w:t>
      </w:r>
      <w:r>
        <w:t xml:space="preserve">and flag tabulations. Inference is entirely rank-based (LEV ordinal, N</w:t>
      </w:r>
      <w:r>
        <w:t xml:space="preserve"> </w:t>
      </w:r>
      <w:r>
        <w:t xml:space="preserve">small): Friedman tests blocked by block for ordered dose trends with pooled</w:t>
      </w:r>
      <w:r>
        <w:t xml:space="preserve"> </w:t>
      </w:r>
      <w:r>
        <w:t xml:space="preserve">Spearman ρ on log10(concentration) as the trend effect; paired Wilcoxon</w:t>
      </w:r>
      <w:r>
        <w:t xml:space="preserve"> </w:t>
      </w:r>
      <w:r>
        <w:t xml:space="preserve">signed-rank tests (exact where the data permit, otherwise the</w:t>
      </w:r>
      <w:r>
        <w:t xml:space="preserve"> </w:t>
      </w:r>
      <w:r>
        <w:t xml:space="preserve">continuity-corrected normal approximation — see §6) for dose-vs-control and</w:t>
      </w:r>
      <w:r>
        <w:t xml:space="preserve"> </w:t>
      </w:r>
      <w:r>
        <w:t xml:space="preserve">for plant/parasite contrasts, each with the matched-pairs rank-biserial</w:t>
      </w:r>
      <w:r>
        <w:t xml:space="preserve"> </w:t>
      </w:r>
      <w:r>
        <w:t xml:space="preserve">effect size (Cliff’s delta family; |r| ≥ 0.11/0.28/0.43 small/medium/large</w:t>
      </w:r>
      <w:r>
        <w:t xml:space="preserve"> </w:t>
      </w:r>
      <w:r>
        <w:t xml:space="preserve">per Vargha &amp; Delaney 2000) and the Hodges–Lehmann median difference with 95%</w:t>
      </w:r>
      <w:r>
        <w:t xml:space="preserve"> </w:t>
      </w:r>
      <w:r>
        <w:t xml:space="preserve">CI. The dose-vs-control Wilcoxons are the formal post-hoc family following</w:t>
      </w:r>
      <w:r>
        <w:t xml:space="preserve"> </w:t>
      </w:r>
      <w:r>
        <w:t xml:space="preserve">each omnibus trend test, Holm-adjusted per parasite; plant and parasite</w:t>
      </w:r>
      <w:r>
        <w:t xml:space="preserve"> </w:t>
      </w:r>
      <w:r>
        <w:t xml:space="preserve">contrasts address independent questions and are not corrected across</w:t>
      </w:r>
      <w:r>
        <w:t xml:space="preserve"> </w:t>
      </w:r>
      <w:r>
        <w:t xml:space="preserve">questions. Per-block trend tests at n = 1 have no power and pooled trend</w:t>
      </w:r>
      <w:r>
        <w:t xml:space="preserve"> </w:t>
      </w:r>
      <w:r>
        <w:t xml:space="preserve">tests would break independence, so only the blocked Friedman is reported as</w:t>
      </w:r>
      <w:r>
        <w:t xml:space="preserve"> </w:t>
      </w:r>
      <w:r>
        <w:t xml:space="preserve">inference. Significance is set at p &lt; 0.05 with p-values supplementary to</w:t>
      </w:r>
      <w:r>
        <w:t xml:space="preserve"> </w:t>
      </w:r>
      <w:r>
        <w:t xml:space="preserve">effect sizes. All computation is in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 </w:t>
      </w:r>
      <w:r>
        <w:t xml:space="preserve">(statistics</w:t>
      </w:r>
      <w:r>
        <w:t xml:space="preserve"> </w:t>
      </w:r>
      <w:r>
        <w:t xml:space="preserve">only, no machine learning).</w:t>
      </w:r>
    </w:p>
    <w:bookmarkEnd w:id="12"/>
    <w:bookmarkStart w:id="13" w:name="objective-i-methanolic-extraction"/>
    <w:p>
      <w:pPr>
        <w:pStyle w:val="Heading2"/>
      </w:pPr>
      <w:r>
        <w:t xml:space="preserve">5 5.1. Objective i — methanolic extraction</w:t>
      </w:r>
    </w:p>
    <w:p>
      <w:pPr>
        <w:pStyle w:val="FirstParagraph"/>
      </w:pPr>
      <w:r>
        <w:t xml:space="preserve">Objective i (extraction of leaves, stem bark, roots and seeds of both plants</w:t>
      </w:r>
      <w:r>
        <w:t xml:space="preserve"> </w:t>
      </w:r>
      <w:r>
        <w:t xml:space="preserve">under standard phytochemical protocols) is a laboratory procedure with no</w:t>
      </w:r>
      <w:r>
        <w:t xml:space="preserve"> </w:t>
      </w:r>
      <w:r>
        <w:t xml:space="preserve">statistical component: no yields or replicates are recorded in the available</w:t>
      </w:r>
      <w:r>
        <w:t xml:space="preserve"> </w:t>
      </w:r>
      <w:r>
        <w:t xml:space="preserve">data, so there is nothing to estimate or test. It is reported here only to</w:t>
      </w:r>
      <w:r>
        <w:t xml:space="preserve"> </w:t>
      </w:r>
      <w:r>
        <w:t xml:space="preserve">keep the objective map complete; efficacy inference begins with the</w:t>
      </w:r>
      <w:r>
        <w:t xml:space="preserve"> </w:t>
      </w:r>
      <w:r>
        <w:t xml:space="preserve">characterised extracts in §5.2–§5.5.</w:t>
      </w:r>
    </w:p>
    <w:bookmarkEnd w:id="13"/>
    <w:bookmarkStart w:id="19" w:name="objective-ii-phytochemical-contents"/>
    <w:p>
      <w:pPr>
        <w:pStyle w:val="Heading2"/>
      </w:pPr>
      <w:r>
        <w:t xml:space="preserve">6 5.2. Objective ii — phytochemical contents</w:t>
      </w:r>
    </w:p>
    <w:p>
      <w:pPr>
        <w:pStyle w:val="FirstParagraph"/>
      </w:pPr>
      <w:r>
        <w:t xml:space="preserve">Screening detected all 12 assayed compound classes across the design, with</w:t>
      </w:r>
      <w:r>
        <w:t xml:space="preserve"> </w:t>
      </w:r>
      <w:r>
        <w:t xml:space="preserve">richness concentrated in leaves and seeds (</w:t>
      </w:r>
      <w:hyperlink w:anchor="tbl-phyto">
        <w:r>
          <w:rPr>
            <w:rStyle w:val="Hyperlink"/>
          </w:rPr>
          <w:t xml:space="preserve">Table 1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M. oleifera</w:t>
      </w:r>
      <w:r>
        <w:t xml:space="preserve"> </w:t>
      </w:r>
      <w:r>
        <w:t xml:space="preserve">leaves carry the broadest profile (9 of 12 classes present) while stem bark</w:t>
      </w:r>
      <w:r>
        <w:t xml:space="preserve"> </w:t>
      </w:r>
      <w:r>
        <w:t xml:space="preserve">in both plants is the sparsest fraction; no compound is unique to a single</w:t>
      </w:r>
      <w:r>
        <w:t xml:space="preserve"> </w:t>
      </w:r>
      <w:r>
        <w:t xml:space="preserve">plant part in a way that alone explains efficacy. Because only eight</w:t>
      </w:r>
      <w:r>
        <w:t xml:space="preserve"> </w:t>
      </w:r>
      <w:r>
        <w:t xml:space="preserve">plant × part combinations exist, these data support description only: the</w:t>
      </w:r>
      <w:r>
        <w:t xml:space="preserve"> </w:t>
      </w:r>
      <w:r>
        <w:t xml:space="preserve">presence matrix (</w:t>
      </w:r>
      <w:hyperlink w:anchor="fig-phyto">
        <w:r>
          <w:rPr>
            <w:rStyle w:val="Hyperlink"/>
          </w:rPr>
          <w:t xml:space="preserve">Figure 1</w:t>
        </w:r>
      </w:hyperlink>
      <w:r>
        <w:t xml:space="preserve">) is the result, and any compound–efficacy</w:t>
      </w:r>
      <w:r>
        <w:t xml:space="preserve"> </w:t>
      </w:r>
      <w:r>
        <w:t xml:space="preserve">association is an exploratory overlay tabulated without inference in</w:t>
      </w:r>
      <w:r>
        <w:t xml:space="preserve"> </w:t>
      </w:r>
      <w:r>
        <w:rPr>
          <w:rStyle w:val="VerbatimChar"/>
        </w:rPr>
        <w:t xml:space="preserve">phytochemical_efficacy_overlay.csv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Phytochemical richness per plant and part (descriptive; screening data, no tests).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phyto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Phytochemical presence by plant and part</w:t>
            </w:r>
          </w:p>
          <w:bookmarkEnd w:id="18"/>
        </w:tc>
      </w:tr>
    </w:tbl>
    <w:bookmarkEnd w:id="19"/>
    <w:bookmarkStart w:id="26" w:name="X6aa15a9a3061acaa265f726b06ec49122a5cdd2"/>
    <w:p>
      <w:pPr>
        <w:pStyle w:val="Heading2"/>
      </w:pPr>
      <w:r>
        <w:t xml:space="preserve">7 5.3. Objective iii — in-vitro motility dose response</w:t>
      </w:r>
    </w:p>
    <w:p>
      <w:pPr>
        <w:pStyle w:val="FirstParagraph"/>
      </w:pPr>
      <w:r>
        <w:t xml:space="preserve">Motility collapses with both time and concentration in every block</w:t>
      </w:r>
      <w:r>
        <w:t xml:space="preserve"> </w:t>
      </w:r>
      <w:r>
        <w:t xml:space="preserve">(</w:t>
      </w:r>
      <w:hyperlink w:anchor="fig-mot-traj">
        <w:r>
          <w:rPr>
            <w:rStyle w:val="Hyperlink"/>
          </w:rPr>
          <w:t xml:space="preserve">Figure 2</w:t>
        </w:r>
      </w:hyperlink>
      <w:r>
        <w:t xml:space="preserve">): Negative Controls remain motile through 120 minutes while</w:t>
      </w:r>
      <w:r>
        <w:t xml:space="preserve"> </w:t>
      </w:r>
      <w:r>
        <w:t xml:space="preserve">100 mg/ml immobilises parasites within 15–30 minutes in most blocks, and the</w:t>
      </w:r>
      <w:r>
        <w:t xml:space="preserve"> </w:t>
      </w:r>
      <w:r>
        <w:t xml:space="preserve">recovered Positive Control rows show the expected rapid kill (+ at t = 0,</w:t>
      </w:r>
      <w:r>
        <w:t xml:space="preserve"> </w:t>
      </w:r>
      <w:r>
        <w:t xml:space="preserve">immobile thereafter). Group-level summaries (TTI, t120, mean proportion</w:t>
      </w:r>
      <w:r>
        <w:t xml:space="preserve"> </w:t>
      </w:r>
      <w:r>
        <w:t xml:space="preserve">motile;</w:t>
      </w:r>
      <w:r>
        <w:t xml:space="preserve"> </w:t>
      </w:r>
      <w:r>
        <w:rPr>
          <w:rStyle w:val="VerbatimChar"/>
        </w:rPr>
        <w:t xml:space="preserve">endpoints_motility.csv</w:t>
      </w:r>
      <w:r>
        <w:t xml:space="preserve">) confirm the pattern numerically — TTI is</w:t>
      </w:r>
      <w:r>
        <w:t xml:space="preserve"> </w:t>
      </w:r>
      <w:r>
        <w:t xml:space="preserve">derivable for 82 of 112 groups, the remainder being groups that never</w:t>
      </w:r>
      <w:r>
        <w:t xml:space="preserve"> </w:t>
      </w:r>
      <w:r>
        <w:t xml:space="preserve">immobilise (chiefly Negative Controls). The blocked dose–response test is</w:t>
      </w:r>
      <w:r>
        <w:t xml:space="preserve"> </w:t>
      </w:r>
      <w:r>
        <w:t xml:space="preserve">highly significant for both parasites (</w:t>
      </w:r>
      <w:hyperlink w:anchor="tbl-mot-dose">
        <w:r>
          <w:rPr>
            <w:rStyle w:val="Hyperlink"/>
          </w:rPr>
          <w:t xml:space="preserve">Table 2</w:t>
        </w:r>
      </w:hyperlink>
      <w:r>
        <w:t xml:space="preserve">: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Friedman Q = 27.75, p &lt; 0.001, pooled ρ = −0.70;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Q = 30.32,</w:t>
      </w:r>
      <w:r>
        <w:t xml:space="preserve"> </w:t>
      </w:r>
      <w:r>
        <w:t xml:space="preserve">p &lt; 0.001, ρ = −0.88), and mean AUC-equivalent motility falls monotonically</w:t>
      </w:r>
      <w:r>
        <w:t xml:space="preserve"> </w:t>
      </w:r>
      <w:r>
        <w:t xml:space="preserve">with log-concentration. Post-hoc dose-vs-control contrasts (</w:t>
      </w:r>
      <w:hyperlink w:anchor="tbl-mot-posthoc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show large, consistent effects at the top doses (rank-biserial −1; HL</w:t>
      </w:r>
      <w:r>
        <w:t xml:space="preserve"> </w:t>
      </w:r>
      <w:r>
        <w:t xml:space="preserve">reduction ≈ −0.83 for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100 mg/ml and −0.89 for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100 mg/ml) that sit just above the Holm-adjusted threshold (Holm 0.065 and</w:t>
      </w:r>
      <w:r>
        <w:t xml:space="preserve"> </w:t>
      </w:r>
      <w:r>
        <w:t xml:space="preserve">0.052) — strong but, at N = 8 blocks, formally inconclusive after</w:t>
      </w:r>
      <w:r>
        <w:t xml:space="preserve"> </w:t>
      </w:r>
      <w:r>
        <w:t xml:space="preserve">multiplicity control. Lower doses are indistinguishable from the control.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Post-hoc motility contrasts, each dose vs Negative Control (paired Wilcoxon by block;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33"/>
              <w:gridCol w:w="491"/>
              <w:gridCol w:w="613"/>
              <w:gridCol w:w="429"/>
              <w:gridCol w:w="245"/>
              <w:gridCol w:w="429"/>
              <w:gridCol w:w="675"/>
              <w:gridCol w:w="491"/>
              <w:gridCol w:w="491"/>
              <w:gridCol w:w="491"/>
              <w:gridCol w:w="491"/>
              <w:gridCol w:w="306"/>
              <w:gridCol w:w="4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p_holm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mot-traj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trajectories_faceted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Motility trajectories by block</w:t>
            </w:r>
          </w:p>
          <w:bookmarkEnd w:id="25"/>
        </w:tc>
      </w:tr>
    </w:tbl>
    <w:bookmarkEnd w:id="26"/>
    <w:bookmarkStart w:id="48" w:name="objective-iv-in-vivo-infectivity"/>
    <w:p>
      <w:pPr>
        <w:pStyle w:val="Heading2"/>
      </w:pPr>
      <w:r>
        <w:t xml:space="preserve">8 5.4. Objective iv — in-vivo infectivity</w:t>
      </w:r>
    </w:p>
    <w:bookmarkStart w:id="37" w:name="parasitaemia"/>
    <w:p>
      <w:pPr>
        <w:pStyle w:val="Heading3"/>
      </w:pPr>
      <w:r>
        <w:t xml:space="preserve">8.1 Parasitaemia</w:t>
      </w:r>
    </w:p>
    <w:p>
      <w:pPr>
        <w:pStyle w:val="FirstParagraph"/>
      </w:pPr>
      <w:r>
        <w:t xml:space="preserve">LEV trajectories rise from day 1, peak around days 9–14 and resolve toward</w:t>
      </w:r>
      <w:r>
        <w:t xml:space="preserve"> </w:t>
      </w:r>
      <w:r>
        <w:t xml:space="preserve">zero by day 40 in survivors (</w:t>
      </w:r>
      <w:hyperlink w:anchor="fig-para-traj">
        <w:r>
          <w:rPr>
            <w:rStyle w:val="Hyperlink"/>
          </w:rPr>
          <w:t xml:space="preserve">Figure 4</w:t>
        </w:r>
      </w:hyperlink>
      <w:r>
        <w:t xml:space="preserve">); mortality (44 of 112 groups</w:t>
      </w:r>
      <w:r>
        <w:t xml:space="preserve"> </w:t>
      </w:r>
      <w:r>
        <w:t xml:space="preserve">with at least one dead-animal day, first deaths days 9–37) accompanies the</w:t>
      </w:r>
      <w:r>
        <w:t xml:space="preserve"> </w:t>
      </w:r>
      <w:r>
        <w:t xml:space="preserve">decline, which is why AUC rather than day-40 LEV carries the inference.</w:t>
      </w:r>
      <w:r>
        <w:t xml:space="preserve"> </w:t>
      </w:r>
      <w:r>
        <w:t xml:space="preserve">Cumulative burden falls monotonically with concentration (</w:t>
      </w:r>
      <w:hyperlink w:anchor="fig-auc">
        <w:r>
          <w:rPr>
            <w:rStyle w:val="Hyperlink"/>
          </w:rPr>
          <w:t xml:space="preserve">Figure 3</w:t>
        </w:r>
      </w:hyperlink>
      <w:r>
        <w:t xml:space="preserve">),</w:t>
      </w:r>
      <w:r>
        <w:t xml:space="preserve"> </w:t>
      </w:r>
      <w:r>
        <w:t xml:space="preserve">significantly for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</w:t>
      </w:r>
      <w:hyperlink w:anchor="tbl-dose">
        <w:r>
          <w:rPr>
            <w:rStyle w:val="Hyperlink"/>
          </w:rPr>
          <w:t xml:space="preserve">Table 4</w:t>
        </w:r>
      </w:hyperlink>
      <w:r>
        <w:t xml:space="preserve">: Friedman Q = 14.51, p = 0.006,</w:t>
      </w:r>
      <w:r>
        <w:t xml:space="preserve"> </w:t>
      </w:r>
      <w:r>
        <w:t xml:space="preserve">pooled ρ = −0.51) and suggestively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(Q = 8.52, p = 0.074,</w:t>
      </w:r>
      <w:r>
        <w:t xml:space="preserve"> </w:t>
      </w:r>
      <w:r>
        <w:t xml:space="preserve">ρ = −0.42). Post-hoc contrasts (</w:t>
      </w:r>
      <w:hyperlink w:anchor="tbl-para-posthoc">
        <w:r>
          <w:rPr>
            <w:rStyle w:val="Hyperlink"/>
          </w:rPr>
          <w:t xml:space="preserve">Table 5</w:t>
        </w:r>
      </w:hyperlink>
      <w:r>
        <w:t xml:space="preserve">) confirm the gradient for</w:t>
      </w:r>
      <w:r>
        <w:t xml:space="preserve"> </w:t>
      </w:r>
      <w:r>
        <w:rPr>
          <w:i/>
          <w:iCs/>
        </w:rPr>
        <w:t xml:space="preserve">T. evansi</w:t>
      </w:r>
      <w:r>
        <w:t xml:space="preserve">: 100, 10 and 0.5 mg/ml each beat the Negative Control in all</w:t>
      </w:r>
      <w:r>
        <w:t xml:space="preserve"> </w:t>
      </w:r>
      <w:r>
        <w:t xml:space="preserve">eight blocks (W = 0, exact p = 0.008, Holm 0.039; HL ≈ −50/−50/−44 AUC-days),</w:t>
      </w:r>
      <w:r>
        <w:t xml:space="preserve"> </w:t>
      </w:r>
      <w:r>
        <w:t xml:space="preserve">while 0.01 and 0.005 mg/ml do not survive correction (Holm 0.078).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only 100 mg/ml is suggestive (p = 0.014, Holm 0.071) and no</w:t>
      </w:r>
      <w:r>
        <w:t xml:space="preserve"> </w:t>
      </w:r>
      <w:r>
        <w:t xml:space="preserve">dose is significant after correction. No parasite-level difference in AUC was</w:t>
      </w:r>
      <w:r>
        <w:t xml:space="preserve"> </w:t>
      </w:r>
      <w:r>
        <w:t xml:space="preserve">found (paired p = 0.46;</w:t>
      </w:r>
      <w:r>
        <w:t xml:space="preserve"> </w:t>
      </w:r>
      <w:hyperlink w:anchor="tbl-other">
        <w:r>
          <w:rPr>
            <w:rStyle w:val="Hyperlink"/>
          </w:rPr>
          <w:t xml:space="preserve">Table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-0.8609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Post-hoc parasitaemia contrasts, each dose vs Negative Control on AUC (paired Wilcoxon by block;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33"/>
              <w:gridCol w:w="491"/>
              <w:gridCol w:w="613"/>
              <w:gridCol w:w="429"/>
              <w:gridCol w:w="184"/>
              <w:gridCol w:w="429"/>
              <w:gridCol w:w="675"/>
              <w:gridCol w:w="552"/>
              <w:gridCol w:w="552"/>
              <w:gridCol w:w="552"/>
              <w:gridCol w:w="368"/>
              <w:gridCol w:w="306"/>
              <w:gridCol w:w="4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p_holm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-29.8879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-20.9200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-13.2549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-24.1399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-24.1399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-19.5700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-50.2992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-50.2992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-44.1300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-31.7213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-65.6275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-34.2379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-68.5100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-9.3983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auc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Mean AUC vs log10(concentration) by parasite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Parasitaemia trajectories by block</w:t>
            </w:r>
          </w:p>
          <w:bookmarkEnd w:id="36"/>
        </w:tc>
      </w:tr>
    </w:tbl>
    <w:bookmarkEnd w:id="37"/>
    <w:bookmarkStart w:id="47" w:name="body-weight-and-pcv"/>
    <w:p>
      <w:pPr>
        <w:pStyle w:val="Heading3"/>
      </w:pPr>
      <w:r>
        <w:t xml:space="preserve">8.2 Body weight and PCV</w:t>
      </w:r>
    </w:p>
    <w:p>
      <w:pPr>
        <w:pStyle w:val="FirstParagraph"/>
      </w:pPr>
      <w:r>
        <w:t xml:space="preserve">Weight and PCV deltas centre near zero with wide scatter (</w:t>
      </w:r>
      <w:hyperlink w:anchor="fig-wt">
        <w:r>
          <w:rPr>
            <w:rStyle w:val="Hyperlink"/>
          </w:rPr>
          <w:t xml:space="preserve">Figure 5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6</w:t>
        </w:r>
      </w:hyperlink>
      <w:r>
        <w:t xml:space="preserve">); neither plant nor parasite contrasts approach significance</w:t>
      </w:r>
      <w:r>
        <w:t xml:space="preserve"> </w:t>
      </w:r>
      <w:r>
        <w:t xml:space="preserve">(</w:t>
      </w:r>
      <w:hyperlink w:anchor="tbl-other">
        <w:r>
          <w:rPr>
            <w:rStyle w:val="Hyperlink"/>
          </w:rPr>
          <w:t xml:space="preserve">Table 6</w:t>
        </w:r>
      </w:hyperlink>
      <w:r>
        <w:t xml:space="preserve">: weight plant p = 0.31, parasite p = 0.15; PCV plant p = 0.74,</w:t>
      </w:r>
      <w:r>
        <w:t xml:space="preserve"> </w:t>
      </w:r>
      <w:r>
        <w:t xml:space="preserve">parasite p = 0.95). Toxicity and anaemia flags (</w:t>
      </w:r>
      <w:r>
        <w:rPr>
          <w:rStyle w:val="VerbatimChar"/>
        </w:rPr>
        <w:t xml:space="preserve">endpoints_weight.csv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endpoints_pcv.csv</w:t>
      </w:r>
      <w:r>
        <w:t xml:space="preserve">) are therefore the substantive read-out: they identify</w:t>
      </w:r>
      <w:r>
        <w:t xml:space="preserve"> </w:t>
      </w:r>
      <w:r>
        <w:t xml:space="preserve">the groups paying a physiological price for infection regardless of</w:t>
      </w:r>
      <w:r>
        <w:t xml:space="preserve"> </w:t>
      </w:r>
      <w:r>
        <w:t xml:space="preserve">treatment, consistent with efficacy that is parasitological rather than</w:t>
      </w:r>
      <w:r>
        <w:t xml:space="preserve"> </w:t>
      </w:r>
      <w:r>
        <w:t xml:space="preserve">confounded by differential toxicity.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4"/>
              <w:gridCol w:w="483"/>
              <w:gridCol w:w="604"/>
              <w:gridCol w:w="423"/>
              <w:gridCol w:w="181"/>
              <w:gridCol w:w="423"/>
              <w:gridCol w:w="544"/>
              <w:gridCol w:w="423"/>
              <w:gridCol w:w="544"/>
              <w:gridCol w:w="483"/>
              <w:gridCol w:w="302"/>
              <w:gridCol w:w="3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-10.6862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576"/>
              <w:gridCol w:w="720"/>
              <w:gridCol w:w="503"/>
              <w:gridCol w:w="216"/>
              <w:gridCol w:w="503"/>
              <w:gridCol w:w="648"/>
              <w:gridCol w:w="576"/>
              <w:gridCol w:w="576"/>
              <w:gridCol w:w="503"/>
              <w:gridCol w:w="360"/>
              <w:gridCol w:w="3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41"/>
              <w:gridCol w:w="597"/>
              <w:gridCol w:w="747"/>
              <w:gridCol w:w="523"/>
              <w:gridCol w:w="224"/>
              <w:gridCol w:w="523"/>
              <w:gridCol w:w="672"/>
              <w:gridCol w:w="523"/>
              <w:gridCol w:w="597"/>
              <w:gridCol w:w="523"/>
              <w:gridCol w:w="373"/>
              <w:gridCol w:w="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wt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Body-weight change Post−Pre (g)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cv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PCV change Post−Pre (pp)</w:t>
            </w:r>
          </w:p>
          <w:bookmarkEnd w:id="46"/>
        </w:tc>
      </w:tr>
    </w:tbl>
    <w:bookmarkEnd w:id="47"/>
    <w:bookmarkEnd w:id="48"/>
    <w:bookmarkStart w:id="54" w:name="objective-v-comparative-superiority"/>
    <w:p>
      <w:pPr>
        <w:pStyle w:val="Heading2"/>
      </w:pPr>
      <w:r>
        <w:t xml:space="preserve">9 5.5. Objective v — comparative superiority</w:t>
      </w:r>
    </w:p>
    <w:p>
      <w:pPr>
        <w:pStyle w:val="FirstParagraph"/>
      </w:pPr>
      <w:r>
        <w:t xml:space="preserve">There is no evidence that either plant is superior. Block-mean AUC pairs</w:t>
      </w:r>
      <w:r>
        <w:t xml:space="preserve"> </w:t>
      </w:r>
      <w:r>
        <w:t xml:space="preserve">scatter on both sides of identity (</w:t>
      </w:r>
      <w:hyperlink w:anchor="fig-paired">
        <w:r>
          <w:rPr>
            <w:rStyle w:val="Hyperlink"/>
          </w:rPr>
          <w:t xml:space="preserve">Figure 7</w:t>
        </w:r>
      </w:hyperlink>
      <w:r>
        <w:t xml:space="preserve">): paired W = 14, exact</w:t>
      </w:r>
      <w:r>
        <w:t xml:space="preserve"> </w:t>
      </w:r>
      <w:r>
        <w:t xml:space="preserve">p = 1.0, HL ≈ 0.3 AUC-days with 95% CI (−14.7, +20.5), rank-biserial −0.14</w:t>
      </w:r>
      <w:r>
        <w:t xml:space="preserve"> </w:t>
      </w:r>
      <w:r>
        <w:t xml:space="preserve">(</w:t>
      </w:r>
      <w:hyperlink w:anchor="tbl-sup">
        <w:r>
          <w:rPr>
            <w:rStyle w:val="Hyperlink"/>
          </w:rPr>
          <w:t xml:space="preserve">Table 7</w:t>
        </w:r>
      </w:hyperlink>
      <w:r>
        <w:t xml:space="preserve">). The motility cross-check agrees (paired p = 0.15, HL 0.11).</w:t>
      </w:r>
      <w:r>
        <w:t xml:space="preserve"> </w:t>
      </w:r>
      <w:r>
        <w:t xml:space="preserve">With only eight pairs the interval spans effects in both directions, so the</w:t>
      </w:r>
      <w:r>
        <w:t xml:space="preserve"> </w:t>
      </w:r>
      <w:r>
        <w:t xml:space="preserve">data cannot support a superiority claim for either agent; the correct</w:t>
      </w:r>
      <w:r>
        <w:t xml:space="preserve"> </w:t>
      </w:r>
      <w:r>
        <w:t xml:space="preserve">conclusion is the null, stated with its confidence interval rather than as a</w:t>
      </w:r>
      <w:r>
        <w:t xml:space="preserve"> </w:t>
      </w:r>
      <w:r>
        <w:t xml:space="preserve">bare p-value.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Plant superiority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7"/>
              <w:gridCol w:w="487"/>
              <w:gridCol w:w="609"/>
              <w:gridCol w:w="426"/>
              <w:gridCol w:w="182"/>
              <w:gridCol w:w="182"/>
              <w:gridCol w:w="670"/>
              <w:gridCol w:w="426"/>
              <w:gridCol w:w="548"/>
              <w:gridCol w:w="487"/>
              <w:gridCol w:w="487"/>
              <w:gridCol w:w="3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asymptotic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-14.7283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4"/>
              <w:gridCol w:w="506"/>
              <w:gridCol w:w="633"/>
              <w:gridCol w:w="443"/>
              <w:gridCol w:w="190"/>
              <w:gridCol w:w="443"/>
              <w:gridCol w:w="570"/>
              <w:gridCol w:w="443"/>
              <w:gridCol w:w="506"/>
              <w:gridCol w:w="443"/>
              <w:gridCol w:w="316"/>
              <w:gridCol w:w="3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n_nonzero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p_method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72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Paired block-mean AUC: A. indica vs M. oleifera</w:t>
            </w:r>
          </w:p>
          <w:bookmarkEnd w:id="53"/>
        </w:tc>
      </w:tr>
    </w:tbl>
    <w:bookmarkEnd w:id="54"/>
    <w:bookmarkStart w:id="60" w:name="diagnostics-sensitivity-and-refits"/>
    <w:p>
      <w:pPr>
        <w:pStyle w:val="Heading2"/>
      </w:pPr>
      <w:r>
        <w:t xml:space="preserve">10 6. Diagnostics, sensitivity and refits</w:t>
      </w:r>
    </w:p>
    <w:p>
      <w:pPr>
        <w:pStyle w:val="FirstParagraph"/>
      </w:pPr>
      <w:r>
        <w:t xml:space="preserve">Three diagnostics were run and each changed or confirmed the analysis.</w:t>
      </w:r>
      <w:r>
        <w:t xml:space="preserve"> </w:t>
      </w:r>
      <w:r>
        <w:t xml:space="preserve">First, rank-test validity: several contrasts contain tied absolute</w:t>
      </w:r>
      <w:r>
        <w:t xml:space="preserve"> </w:t>
      </w:r>
      <w:r>
        <w:t xml:space="preserve">differences (all five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dose contrasts; most motility</w:t>
      </w:r>
      <w:r>
        <w:t xml:space="preserve"> </w:t>
      </w:r>
      <w:r>
        <w:t xml:space="preserve">contrasts, whose endpoint averages nine binary points) or dropped zero</w:t>
      </w:r>
      <w:r>
        <w:t xml:space="preserve"> </w:t>
      </w:r>
      <w:r>
        <w:t xml:space="preserve">differences (plant superiority: one of eight pairs). Because R’s exact</w:t>
      </w:r>
      <w:r>
        <w:t xml:space="preserve"> </w:t>
      </w:r>
      <w:r>
        <w:t xml:space="preserve">Wilcoxon distribution is invalid with tied ranks, every contrast now records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p_method</w:t>
      </w:r>
      <w:r>
        <w:t xml:space="preserve">, using the exact p-value only when</w:t>
      </w:r>
      <w:r>
        <w:t xml:space="preserve"> </w:t>
      </w:r>
      <w:r>
        <w:t xml:space="preserve">neither occurs and the continuity-corrected normal approximation otherwise —</w:t>
      </w:r>
      <w:r>
        <w:t xml:space="preserve"> </w:t>
      </w:r>
      <w:r>
        <w:t xml:space="preserve">this refit left all conclusions unchanged (e.g. </w:t>
      </w:r>
      <w:r>
        <w:rPr>
          <w:i/>
          <w:iCs/>
        </w:rPr>
        <w:t xml:space="preserve">congolense</w:t>
      </w:r>
      <w:r>
        <w:t xml:space="preserve"> </w:t>
      </w:r>
      <w:r>
        <w:t xml:space="preserve">100 mg/ml:</w:t>
      </w:r>
      <w:r>
        <w:t xml:space="preserve"> </w:t>
      </w:r>
      <w:r>
        <w:t xml:space="preserve">asymptotic p = 0.014, Holm 0.071). Second, paired-difference symmetry, the</w:t>
      </w:r>
      <w:r>
        <w:t xml:space="preserve"> </w:t>
      </w:r>
      <w:r>
        <w:t xml:space="preserve">remaining signed-rank assumption, was inspected visually (</w:t>
      </w:r>
      <w:hyperlink w:anchor="fig-sym">
        <w:r>
          <w:rPr>
            <w:rStyle w:val="Hyperlink"/>
          </w:rPr>
          <w:t xml:space="preserve">Figure 8</w:t>
        </w:r>
      </w:hyperlink>
      <w:r>
        <w:t xml:space="preserve">): the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sit entirely below zero (a location shift, unproblematic</w:t>
      </w:r>
      <w:r>
        <w:t xml:space="preserve"> </w:t>
      </w:r>
      <w:r>
        <w:t xml:space="preserve">for the test), while the superiority differences spread symmetrically around</w:t>
      </w:r>
      <w:r>
        <w:t xml:space="preserve"> </w:t>
      </w:r>
      <w:r>
        <w:t xml:space="preserve">zero, matching its null result. Third, leave-one-block-out sensitivity</w:t>
      </w:r>
      <w:r>
        <w:t xml:space="preserve"> </w:t>
      </w:r>
      <w:r>
        <w:t xml:space="preserve">(</w:t>
      </w:r>
      <w:hyperlink w:anchor="tbl-loo">
        <w:r>
          <w:rPr>
            <w:rStyle w:val="Hyperlink"/>
          </w:rPr>
          <w:t xml:space="preserve">Table 8</w:t>
        </w:r>
      </w:hyperlink>
      <w:r>
        <w:t xml:space="preserve">) shows every headline claim is stable — no single block flips any</w:t>
      </w:r>
      <w:r>
        <w:t xml:space="preserve"> </w:t>
      </w:r>
      <w:r>
        <w:t xml:space="preserve">conclusion (evansi top doses: LOO p = 0.016 throughout; superiority null:</w:t>
      </w:r>
      <w:r>
        <w:t xml:space="preserve"> </w:t>
      </w:r>
      <w:r>
        <w:t xml:space="preserve">LOO p 0.53–1.0). Completeness was verified structurally (4480/336/336/1008/96</w:t>
      </w:r>
      <w:r>
        <w:t xml:space="preserve"> </w:t>
      </w:r>
      <w:r>
        <w:t xml:space="preserve">rows with 4 part levels enforced at build).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Leave-one-block-out sensitivity of headline claims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sym"/>
          <w:p>
            <w:pPr>
              <w:pStyle w:val="Compact"/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Paired differences: symmetry check (red = median)</w:t>
            </w:r>
          </w:p>
          <w:bookmarkEnd w:id="59"/>
        </w:tc>
      </w:tr>
    </w:tbl>
    <w:bookmarkEnd w:id="60"/>
    <w:bookmarkStart w:id="61" w:name="limitations"/>
    <w:p>
      <w:pPr>
        <w:pStyle w:val="Heading2"/>
      </w:pPr>
      <w:r>
        <w:t xml:space="preserve">11 7. Limitations</w:t>
      </w:r>
    </w:p>
    <w:p>
      <w:pPr>
        <w:pStyle w:val="FirstParagraph"/>
      </w:pPr>
      <w:r>
        <w:t xml:space="preserve">Each CSV row is a mean of n = 3 mice, so no within-group variance survives</w:t>
      </w:r>
      <w:r>
        <w:t xml:space="preserve"> </w:t>
      </w:r>
      <w:r>
        <w:t xml:space="preserve">and all inference rests on N = 16 blocks (8 per contrast) — power is low,</w:t>
      </w:r>
      <w:r>
        <w:t xml:space="preserve"> </w:t>
      </w:r>
      <w:r>
        <w:t xml:space="preserve">intervals are wide, and descriptive patterns carry the weight. Control</w:t>
      </w:r>
      <w:r>
        <w:t xml:space="preserve"> </w:t>
      </w:r>
      <w:r>
        <w:t xml:space="preserve">identities and doses are unknown in the source, so the Positive Control is a</w:t>
      </w:r>
      <w:r>
        <w:t xml:space="preserve"> </w:t>
      </w:r>
      <w:r>
        <w:t xml:space="preserve">validity reference, not a comparator. Death-censored AUC favours early-death</w:t>
      </w:r>
      <w:r>
        <w:t xml:space="preserve"> </w:t>
      </w:r>
      <w:r>
        <w:t xml:space="preserve">groups numerically, hence every AUC is read alongside mortality. NA = death</w:t>
      </w:r>
      <w:r>
        <w:t xml:space="preserve"> </w:t>
      </w:r>
      <w:r>
        <w:t xml:space="preserve">is an adopted convention worth confirming against the animal records. All</w:t>
      </w:r>
      <w:r>
        <w:t xml:space="preserve"> </w:t>
      </w:r>
      <w:r>
        <w:t xml:space="preserve">results are exploratory, not confirmatory.</w:t>
      </w:r>
    </w:p>
    <w:bookmarkEnd w:id="61"/>
    <w:bookmarkStart w:id="62" w:name="references-methods"/>
    <w:p>
      <w:pPr>
        <w:pStyle w:val="Heading2"/>
      </w:pPr>
      <w:r>
        <w:t xml:space="preserve">12 References (methods)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 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Jonckheere, A. (1954); Terpstra, J.T. (1952) — ordered alternatives (design reference; blocked Friedman reported instead, see §4).</w:t>
      </w:r>
    </w:p>
    <w:p>
      <w:pPr>
        <w:pStyle w:val="Compact"/>
        <w:numPr>
          <w:ilvl w:val="0"/>
          <w:numId w:val="1001"/>
        </w:numPr>
      </w:pPr>
      <w:r>
        <w:t xml:space="preserve">Noyes, H. et al. (2009).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56" Target="media/rId56.png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50" Target="media/rId50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2026-09-11T01:30:06Z</dcterms:created>
  <dcterms:modified xsi:type="dcterms:W3CDTF">2026-09-11T01:30:06Z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