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package/2006/relationships/metadata/core-properties" Target="docProps/core.xml"/>
<Relationship Id="rId4" Type="http://schemas.openxmlformats.org/officeDocument/2006/relationships/extended-properties" Target="docProps/app.xml"/>
<Relationship Id="rId1" Type="http://schemas.openxmlformats.org/officeDocument/2006/relationships/officeDocument" Target="word/document.xml"/>
<Relationship Id="rId2" Type="http://schemas.openxmlformats.org/package/2006/relationships/metadata/thumbnail" Target="docProps/thumbnail.jpeg"/>
</Relationships>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Objectives, Variables and Statistical Methods</w:t>
      </w:r>
    </w:p>
    <w:p>
      <w:pPr>
        <w:pStyle w:val="Normal"/>
      </w:pPr>
      <w:r>
        <w:t xml:space="preserve">Comparative anti-trypanosomal activity of Azadirachta indica and Moringa oleifera against Trypanosoma congolense and T. evansi. Companion methods document to the statistical report (report.docx).</w:t>
      </w:r>
    </w:p>
    <w:p>
      <w:pPr>
        <w:pStyle w:val="Heading2"/>
      </w:pPr>
      <w:r>
        <w:t xml:space="preserve">1. Aim and specific objectives (verbatim, thesis S1.8)</w:t>
      </w:r>
    </w:p>
    <w:p>
      <w:pPr>
        <w:pStyle w:val="Normal"/>
      </w:pPr>
      <w:r>
        <w:t xml:space="preserve">Aim (S1.8.1). The aim of this study is to comparatively evaluate the anti-trypanosomal activity of methanolic extracts of the leaves, stem bark, roots and seeds of Azadirachta indica and Moringa oleifera against Trypanosoma congolense and T. evansi.</w:t>
      </w:r>
    </w:p>
    <w:p>
      <w:pPr>
        <w:pStyle w:val="Normal"/>
      </w:pPr>
      <w:r>
        <w:t xml:space="preserve">Specific objectives (S1.8.2):</w:t>
      </w:r>
    </w:p>
    <w:p>
      <w:pPr>
        <w:pStyle w:val="Normal"/>
      </w:pPr>
      <w:r>
        <w:t xml:space="preserve">• i. To extract methanolic contents from the leaves, stem bark, roots and seeds of Azadirachta indica and Moringa oleifera using standard phytochemical extraction protocols.</w:t>
      </w:r>
    </w:p>
    <w:p>
      <w:pPr>
        <w:pStyle w:val="Normal"/>
      </w:pPr>
      <w:r>
        <w:t xml:space="preserve">• ii. To identify and characterise phytochemical contents of the extracts.</w:t>
      </w:r>
    </w:p>
    <w:p>
      <w:pPr>
        <w:pStyle w:val="Normal"/>
      </w:pPr>
      <w:r>
        <w:t xml:space="preserve">• iii. To determine the in vitro anti-trypanosomal activity of different concentrations of the plant extracts (100mg/ml, 10mg/ml, 0.5mg/ml, 0.01mg/ml and 0.005mg/ml) against T. congolense and T. evansi using the parasite motility assay.</w:t>
      </w:r>
    </w:p>
    <w:p>
      <w:pPr>
        <w:pStyle w:val="Normal"/>
      </w:pPr>
      <w:r>
        <w:t xml:space="preserve">• iv. To determine the infectivity of the product of No. iii. above in albino mice, monitoring body weight, parasitaemia and packed cell volume (PCV).</w:t>
      </w:r>
    </w:p>
    <w:p>
      <w:pPr>
        <w:pStyle w:val="Normal"/>
      </w:pPr>
      <w:r>
        <w:t xml:space="preserve">• v. To comparatively evaluate the efficacy of A. indica versus M. oleifera extracts against both trypanosome species and determine the superior anti-trypanosomal agent.</w:t>
      </w:r>
    </w:p>
    <w:p>
      <w:pPr>
        <w:pStyle w:val="Heading2"/>
      </w:pPr>
      <w:r>
        <w:t xml:space="preserve">2. Objectives x variables x methods</w:t>
      </w:r>
    </w:p>
    <w:p>
      <w:pPr>
        <w:pStyle w:val="Normal"/>
      </w:pPr>
      <w:r>
        <w:t xml:space="preserve">Each CSV row is a group mean of n = 3 mice, so within any plant x part x parasite block each group is n = 1 (descriptive only). The analytical unit is the block (N = 16).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Objectives, variables and statistical methods.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Objective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Why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Method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Expected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ii. Phytochemical profile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plant, part, compound, present (phytochemical.csv)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 screen, n=8 combos: no test has power; descriptive only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Richness counts, presence matrix, co-occurrence; efficacy overlay exploratory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inventory per plant/part feeding objective v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iii. Motility dose-response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concentration_mgml (5 ordered) x motile over time_min; endpoints TTI, t120, mean-motile (motility.csv)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Binary x ordered dose x repeated times; +- undefined per source 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Jonckheere-Terpstra trend pooled per parasite; Holm-Wilcoxon each dose vs NC; Cliff's delta +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Monotonic kill trend? Lowest dose beating NC?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iv. Parasitaemia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lev 0-5 by day; endpoints AUC + peak + clearance + day-40 (parasitemia.csv, +lev_raw)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Longitudinal ordinal + informative dropout (death); day-40 degenerate (0/112 positive)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Block level: Wilcoxon signed-rank (paired, 8 pairs) / Mann-Whitney (8v8) + Cliff's delta + CI; Spearman log-dose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Treated vs NC LEV/AUC difference; dose monotonicity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iv. Weight / PCV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weight_g, pcv at Pre/Infection/Post -&gt; delta = Post-Pre (weight.csv, pcv.csv)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Continuous but batch-shifted baselines (19-29 g); deltas adjust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Same rank framework on delta + toxicity/anemia flags (see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Efficacy without toxicity; anemia protection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v. Superiority A. indica vs M. oleifera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Paired day-40 LEV + AUC + t120 summaries, 8 part x parasite pairs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Same part x parasite pairing isolates the plant effect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Wilcoxon signed-rank + Cliff's delta + CI; forest of paired differences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Superior agent - only if effect + CI support it at N=8</w:t>
            </w:r>
          </w:p>
        </w:tc>
      </w:tr>
    </w:tbl>
    <w:p>
      <w:pPr>
        <w:pStyle w:val="Heading2"/>
      </w:pPr>
      <w:r>
        <w:t xml:space="preserve">3. Both-endpoints rationale</w:t>
      </w:r>
    </w:p>
    <w:p>
      <w:pPr>
        <w:pStyle w:val="Normal"/>
      </w:pPr>
      <w:r>
        <w:t xml:space="preserve">Every outcome is summarised twice: once at the end of observation and once cumulatively. A fast killer and a slow killer can tie at the endpoint but differ cumulatively; a late rebound looks like failure at the endpoint only. Concretely: day-40 LEV (snapshot: final load) + AUC over days 1-40 (total burden); motility t120 (who is still moving) + time-to-immobilisation (how fast); weight/PCV Post value + delta Post-Pre (net change, adjusting batch-shifted baselines). Superiority (objective v) must hold at endpoint AND cumulatively to convince.</w:t>
      </w:r>
    </w:p>
    <w:p>
      <w:pPr>
        <w:pStyle w:val="Normal"/>
      </w:pPr>
      <w:r>
        <w:t xml:space="preserve">Day-40 LEV proved degenerate (0 of 112 groups positive: 68 zeros, 44 dead; positivity peaks near 30% around days 9-14), so AUC/peak/clearance are primary and day-40 is supporting - not the reverse.</w:t>
      </w:r>
    </w:p>
    <w:p>
      <w:pPr>
        <w:pStyle w:val="Heading2"/>
      </w:pPr>
      <w:r>
        <w:t xml:space="preserve">4. Handling rules (locked decisions)</w:t>
      </w:r>
    </w:p>
    <w:p>
      <w:pPr>
        <w:pStyle w:val="Normal"/>
      </w:pPr>
      <w:r>
        <w:t xml:space="preserve">• Death/censoring. NA in weight, PCV and parasitaemia means the animal died before measurement (adopted convention - Sheet 2 never states it; never imputed). AUC is computed over observed days only and always reported alongside mortality: low AUC with high mortality reads as toxicity/failure, not efficacy.</w:t>
      </w:r>
    </w:p>
    <w:p>
      <w:pPr>
        <w:pStyle w:val="Normal"/>
      </w:pPr>
      <w:r>
        <w:t xml:space="preserve">• Failed challenges. Audit (2026-09-11) shows every block reaches LEV 5 including Negative Controls, in both old and new CSVs - there are no failed-challenge blocks, so no exclusions apply. The earlier 'all-zero T. evansi blocks' note is withdrawn.</w:t>
      </w:r>
    </w:p>
    <w:p>
      <w:pPr>
        <w:pStyle w:val="Normal"/>
      </w:pPr>
      <w:r>
        <w:t xml:space="preserve">• Controls. Kept as bare labels Negative Control / Positive Control (identities and doses not stated in Sheet 2). Positive Control is an assay-validity reference only, not a non-inferiority comparator.</w:t>
      </w:r>
    </w:p>
    <w:p>
      <w:pPr>
        <w:pStyle w:val="Normal"/>
      </w:pPr>
      <w:r>
        <w:t xml:space="preserve">• Motility key. '+ Active motility; - No motility' (all 16 footnotes); '+-' undefined -&gt; NA (2 cells, both Negative Control t=120, T. congolense). Empty continuation rows of the split Negative/control label are skipped by the parser so Positive Control rows hold real data.</w:t>
      </w:r>
    </w:p>
    <w:p>
      <w:pPr>
        <w:pStyle w:val="Normal"/>
      </w:pPr>
      <w:r>
        <w:t xml:space="preserve">• Flag standards (recent literature). Anemia: Post PCV &lt; 35% or &gt;= 25% relative drop from Pre; severe: &lt; 30% or &gt;= 40% drop (Noyes et al. 2009 PLoS ONE; Naessens et al. 2005; Gitonga et al. 2017; normal mouse PCV ~40-58%). Weight toxicity signal: &gt;= 10% loss from Pre (~-2 g); severe: &gt;= 20% (standard humane-endpoint range). Flags are descriptive overlays, not test outcomes.</w:t>
      </w:r>
    </w:p>
    <w:p>
      <w:pPr>
        <w:pStyle w:val="Heading2"/>
      </w:pPr>
      <w:r>
        <w:t xml:space="preserve">5. Method references</w:t>
      </w:r>
    </w:p>
    <w:p>
      <w:pPr>
        <w:pStyle w:val="Normal"/>
      </w:pPr>
      <w:r>
        <w:t xml:space="preserve">Conover (1999) Practical Nonparametric Statistics; Mann &amp; Whitney (1947); Wilcoxon (1945); Cliff (1993, 1996) and Vargha &amp; Delaney (2000) for delta thresholds 0.11/0.28/0.43; Spearman (1904); Jonckheere (1954) / Terpstra (1952) for ordered alternatives; Herbert &amp; Lumsden (1976) as the origin of the LEV matching scale (verify against thesis methods).</w:t>
      </w:r>
    </w:p>
    <w:p>
      <w:pPr>
        <w:pStyle w:val="Heading2"/>
      </w:pPr>
      <w:r>
        <w:t xml:space="preserve">Appendix. Superseded S3.10 analysis text (recorded, not used)</w:t>
      </w:r>
    </w:p>
    <w:p>
      <w:pPr>
        <w:pStyle w:val="Normal"/>
      </w:pPr>
      <w:r>
        <w:t xml:space="preserve">The thesis draft S3.10 proposed one-way ANOVA + Tukey HSD on group means (SPSS v26) with Kruskal-Wallis / Mann-Whitney for motility, mean +/- SEM, p &lt; 0.05. This is rejected for this dataset: n = 1 per group per block (no within-cell variance), LEV ordinal (normality violated), days/times are repeated measures, death-NA is informative, and treating 4480 rows as independent is pseudoreplication. Replaced by the block-level rank methods in S2 above, with effects + CIs and Holm control. Mean +/- SEM on ordinal LEV is not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xmlns:w="http://schemas.openxmlformats.org/wordprocessingml/2006/main" w:percent="NA"/>
  <w:proofState w:spelling="clean" w:grammar="clean"/>
  <w:defaultTabStop xmlns:w="http://schemas.openxmlformats.org/wordprocessingml/2006/main" w:val="720"/>
  <w:characterSpacingControl w:val="doNotCompress"/>
  <w:savePreviewPicture/>
  <w:compat xmlns:w="http://schemas.openxmlformats.org/wordprocessingml/2006/main"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  <w14:docId w14:val="24062061"/>
  <w14:defaultImageDpi w14:val="300"/>
  <w:hyphenationZone xmlns:w="http://schemas.openxmlformats.org/wordprocessingml/2006/main" w:val="360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tyles" Target="styles.xml"/>
<Relationship Id="rId4" Type="http://schemas.microsoft.com/office/2007/relationships/stylesWithEffects" Target="stylesWithEffects.xml"/>
<Relationship Id="rId5" Type="http://schemas.openxmlformats.org/officeDocument/2006/relationships/settings" Target="settings.xml"/>
<Relationship Id="rId6" Type="http://schemas.openxmlformats.org/officeDocument/2006/relationships/webSettings" Target="webSettings.xml"/>
<Relationship Id="rId7" Type="http://schemas.openxmlformats.org/officeDocument/2006/relationships/fontTable" Target="fontTable.xml"/>
<Relationship Id="rId8" Type="http://schemas.openxmlformats.org/officeDocument/2006/relationships/theme" Target="theme/theme1.xml"/>
<Relationship Id="rId1" Type="http://schemas.openxmlformats.org/officeDocument/2006/relationships/customXml" Target="../customXml/item1.xml"/>
<Relationship Id="rId2" Type="http://schemas.openxmlformats.org/officeDocument/2006/relationships/numbering" Target="numbering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2026-09-11T02:16:44Z</dcterms:modified>
  <cp:category/>
</cp:coreProperties>
</file>