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8.png" ContentType="image/png"/>
  <Override PartName="/word/media/rId35.png" ContentType="image/png"/>
  <Override PartName="/word/media/rId31.png" ContentType="image/png"/>
  <Override PartName="/word/media/rId41.png" ContentType="image/png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im-and-objectives"/>
    <w:p>
      <w:pPr>
        <w:pStyle w:val="Heading2"/>
      </w:pPr>
      <w:r>
        <w:t xml:space="preserve">1 Aim and objectives</w:t>
      </w:r>
    </w:p>
    <w:p>
      <w:pPr>
        <w:pStyle w:val="FirstParagraph"/>
      </w:pPr>
      <w:r>
        <w:t xml:space="preserve">The aim of this study is to comparatively evaluate the anti-trypanosomal activity</w:t>
      </w:r>
      <w:r>
        <w:t xml:space="preserve"> </w:t>
      </w:r>
      <w:r>
        <w:t xml:space="preserve">of methanolic extracts of the leaves, stem bark, roots and seeds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</w:t>
      </w:r>
    </w:p>
    <w:p>
      <w:pPr>
        <w:pStyle w:val="BodyText"/>
      </w:pPr>
      <w:r>
        <w:t xml:space="preserve">Specific objectives (§1.8.2): (i) methanolic extraction; (ii) phytochemical</w:t>
      </w:r>
      <w:r>
        <w:t xml:space="preserve"> </w:t>
      </w:r>
      <w:r>
        <w:t xml:space="preserve">identification/characterisation; (iii) in-vitro motility dose–response at 100,</w:t>
      </w:r>
      <w:r>
        <w:t xml:space="preserve"> </w:t>
      </w:r>
      <w:r>
        <w:t xml:space="preserve">10, 0.5, 0.01 and 0.005 mg/ml against both parasites; (iv) in-vivo infectivity</w:t>
      </w:r>
      <w:r>
        <w:t xml:space="preserve"> </w:t>
      </w:r>
      <w:r>
        <w:t xml:space="preserve">in albino mice (body weight, parasitaemia, PCV); (v) comparative efficacy and</w:t>
      </w:r>
      <w:r>
        <w:t xml:space="preserve"> </w:t>
      </w:r>
      <w:r>
        <w:t xml:space="preserve">superior agent. Objectives i–ii are laboratory procedures reported</w:t>
      </w:r>
      <w:r>
        <w:t xml:space="preserve"> </w:t>
      </w:r>
      <w:r>
        <w:t xml:space="preserve">descriptively; this report covers the statistical analysis for iii–v.</w:t>
      </w:r>
    </w:p>
    <w:bookmarkEnd w:id="9"/>
    <w:bookmarkStart w:id="10" w:name="data-and-design"/>
    <w:p>
      <w:pPr>
        <w:pStyle w:val="Heading2"/>
      </w:pPr>
      <w:r>
        <w:t xml:space="preserve">2 Data and design</w:t>
      </w:r>
    </w:p>
    <w:p>
      <w:pPr>
        <w:pStyle w:val="FirstParagraph"/>
      </w:pPr>
      <w:r>
        <w:t xml:space="preserve">Source data are group means of n = 3 mice per group, parsed from Sheet 2 of the</w:t>
      </w:r>
      <w:r>
        <w:t xml:space="preserve"> </w:t>
      </w:r>
      <w:r>
        <w:t xml:space="preserve">study workbook into tidy CSVs (</w:t>
      </w:r>
      <w:r>
        <w:rPr>
          <w:rStyle w:val="VerbatimChar"/>
        </w:rPr>
        <w:t xml:space="preserve">analysis/data/</w:t>
      </w:r>
      <w:r>
        <w:t xml:space="preserve">, builder</w:t>
      </w:r>
      <w:r>
        <w:t xml:space="preserve"> </w:t>
      </w:r>
      <w:r>
        <w:rPr>
          <w:rStyle w:val="VerbatimChar"/>
        </w:rPr>
        <w:t xml:space="preserve">analysis/R/01_build_datasets.R</w:t>
      </w:r>
      <w:r>
        <w:t xml:space="preserve">). Within any plant × part × parasite block</w:t>
      </w:r>
      <w:r>
        <w:t xml:space="preserve"> </w:t>
      </w:r>
      <w:r>
        <w:t xml:space="preserve">each of the 7 groups is therefore n = 1 (descriptive only). The analytical</w:t>
      </w:r>
      <w:r>
        <w:t xml:space="preserve"> </w:t>
      </w:r>
      <w:r>
        <w:t xml:space="preserve">unit is the</w:t>
      </w:r>
      <w:r>
        <w:t xml:space="preserve"> </w:t>
      </w:r>
      <w:r>
        <w:rPr>
          <w:b/>
          <w:bCs/>
        </w:rPr>
        <w:t xml:space="preserve">block (N = 16; 8 per plant, 8 per parasite)</w:t>
      </w:r>
      <w:r>
        <w:t xml:space="preserve">; plant contrasts</w:t>
      </w:r>
      <w:r>
        <w:t xml:space="preserve"> </w:t>
      </w:r>
      <w:r>
        <w:t xml:space="preserve">use 8 part × parasite pairs, parasite contrasts 8 plant × part pairs.</w:t>
      </w:r>
      <w:r>
        <w:t xml:space="preserve"> </w:t>
      </w:r>
      <w:r>
        <w:t xml:space="preserve">Treatments are labelled Negative Control / Positive Control exactly as in the</w:t>
      </w:r>
      <w:r>
        <w:t xml:space="preserve"> </w:t>
      </w:r>
      <w:r>
        <w:t xml:space="preserve">source (identities and doses not stated in Sheet 2); the Positive Control</w:t>
      </w:r>
      <w:r>
        <w:t xml:space="preserve"> </w:t>
      </w:r>
      <w:r>
        <w:t xml:space="preserve">serves as assay-validity reference only.</w:t>
      </w:r>
    </w:p>
    <w:bookmarkEnd w:id="10"/>
    <w:bookmarkStart w:id="11" w:name="endpoints"/>
    <w:p>
      <w:pPr>
        <w:pStyle w:val="Heading2"/>
      </w:pPr>
      <w:r>
        <w:t xml:space="preserve">3 Endpoints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Parasitaemia (LEV 0–5 ordinal):</w:t>
      </w:r>
      <w:r>
        <w:t xml:space="preserve"> </w:t>
      </w:r>
      <w:r>
        <w:t xml:space="preserve">primary =</w:t>
      </w:r>
      <w:r>
        <w:t xml:space="preserve"> </w:t>
      </w:r>
      <w:r>
        <w:rPr>
          <w:b/>
          <w:bCs/>
        </w:rPr>
        <w:t xml:space="preserve">AUC</w:t>
      </w:r>
      <w:r>
        <w:t xml:space="preserve"> </w:t>
      </w:r>
      <w:r>
        <w:t xml:space="preserve">(death-censored</w:t>
      </w:r>
      <w:r>
        <w:t xml:space="preserve"> </w:t>
      </w:r>
      <w:r>
        <w:t xml:space="preserve">trapezoidal sum over observed days, reported with mortality); supporting =</w:t>
      </w:r>
      <w:r>
        <w:t xml:space="preserve"> </w:t>
      </w:r>
      <w:r>
        <w:t xml:space="preserve">peak LEV, clearance day, day-40 status. Day-40 LEV alone is degenerate</w:t>
      </w:r>
      <w:r>
        <w:t xml:space="preserve"> </w:t>
      </w:r>
      <w:r>
        <w:t xml:space="preserve">(0/112 groups positive at day 40: 68 zeros, 44 dead; positivity peaks ~30%</w:t>
      </w:r>
      <w:r>
        <w:t xml:space="preserve"> </w:t>
      </w:r>
      <w:r>
        <w:t xml:space="preserve">around days 9–14) and is not used as a primary endpoint.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Motility (binary +/−):</w:t>
      </w:r>
      <w:r>
        <w:t xml:space="preserve"> </w:t>
      </w:r>
      <w:r>
        <w:t xml:space="preserve">time-to-immobilisation (TTI), % motile at t = 120,</w:t>
      </w:r>
      <w:r>
        <w:t xml:space="preserve"> </w:t>
      </w:r>
      <w:r>
        <w:t xml:space="preserve">mean proportion motile. Source key:</w:t>
      </w:r>
      <w:r>
        <w:t xml:space="preserve"> </w:t>
      </w:r>
      <w:r>
        <w:rPr>
          <w:rStyle w:val="VerbatimChar"/>
        </w:rPr>
        <w:t xml:space="preserve">+ Active motility; − No motility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+-</w:t>
      </w:r>
      <w:r>
        <w:t xml:space="preserve"> </w:t>
      </w:r>
      <w:r>
        <w:t xml:space="preserve">undefined → NA, 2 cells).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Weight / PCV:</w:t>
      </w:r>
      <w:r>
        <w:t xml:space="preserve"> </w:t>
      </w:r>
      <w:r>
        <w:t xml:space="preserve">Δ = Post-Infection − Pre-Infection, with</w:t>
      </w:r>
      <w:r>
        <w:t xml:space="preserve"> </w:t>
      </w:r>
      <w:r>
        <w:t xml:space="preserve">literature-standard flags — anemia: Post PCV &lt; 35% or ≥ 25% relative drop</w:t>
      </w:r>
      <w:r>
        <w:t xml:space="preserve"> </w:t>
      </w:r>
      <w:r>
        <w:t xml:space="preserve">(severe: &lt; 30% or ≥ 40%; Noyes et al. 2009; Naessens et al. 2005; Gitonga et</w:t>
      </w:r>
      <w:r>
        <w:t xml:space="preserve"> </w:t>
      </w:r>
      <w:r>
        <w:t xml:space="preserve">al. 2017); weight toxicity signal: ≥ 10% loss (severe: ≥ 20%, the standard</w:t>
      </w:r>
      <w:r>
        <w:t xml:space="preserve"> </w:t>
      </w:r>
      <w:r>
        <w:t xml:space="preserve">humane-endpoint range).</w:t>
      </w:r>
    </w:p>
    <w:p>
      <w:pPr>
        <w:pStyle w:val="Compact"/>
        <w:numPr>
          <w:ilvl w:val="0"/>
          <w:numId w:val="1001"/>
        </w:numPr>
      </w:pPr>
      <w:r>
        <w:t xml:space="preserve">Raw LEV values above the 0–5 scale (42 cells: 41 decimals 5.01–5.3, one</w:t>
      </w:r>
      <w:r>
        <w:t xml:space="preserve"> </w:t>
      </w:r>
      <w:r>
        <w:t xml:space="preserve">LEV = 6) were capped to 5 with the pre-cap value preserved (</w:t>
      </w:r>
      <w:r>
        <w:rPr>
          <w:rStyle w:val="VerbatimChar"/>
        </w:rPr>
        <w:t xml:space="preserve">lev_raw</w:t>
      </w:r>
      <w:r>
        <w:t xml:space="preserve">) and</w:t>
      </w:r>
      <w:r>
        <w:t xml:space="preserve"> </w:t>
      </w:r>
      <w:r>
        <w:t xml:space="preserve">flagged. Missing in-vivo values are treated as animal death (adopted</w:t>
      </w:r>
      <w:r>
        <w:t xml:space="preserve"> </w:t>
      </w:r>
      <w:r>
        <w:t xml:space="preserve">convention — Sheet 2 never states it; never imputed).</w:t>
      </w:r>
    </w:p>
    <w:bookmarkEnd w:id="11"/>
    <w:bookmarkStart w:id="12" w:name="statistical-methods"/>
    <w:p>
      <w:pPr>
        <w:pStyle w:val="Heading2"/>
      </w:pPr>
      <w:r>
        <w:t xml:space="preserve">4 Statistical methods</w:t>
      </w:r>
    </w:p>
    <w:p>
      <w:pPr>
        <w:pStyle w:val="FirstParagraph"/>
      </w:pPr>
      <w:r>
        <w:t xml:space="preserve">All tests are rank-based (LEV ordinal, N small): Friedman test blocked by</w:t>
      </w:r>
      <w:r>
        <w:t xml:space="preserve"> </w:t>
      </w:r>
      <w:r>
        <w:t xml:space="preserve">block for dose trends with pooled Spearman ρ for log10(concentration);</w:t>
      </w:r>
      <w:r>
        <w:t xml:space="preserve"> </w:t>
      </w:r>
      <w:r>
        <w:t xml:space="preserve">paired Wilcoxon signed-rank (exact) for dose-vs-Negative-Control and for</w:t>
      </w:r>
      <w:r>
        <w:t xml:space="preserve"> </w:t>
      </w:r>
      <w:r>
        <w:t xml:space="preserve">plant/parasite contrasts, with matched-pairs rank-biserial effect size</w:t>
      </w:r>
      <w:r>
        <w:t xml:space="preserve"> </w:t>
      </w:r>
      <w:r>
        <w:t xml:space="preserve">(Cliff’s delta family; |r| ≥ 0.11/0.28/0.43 small/medium/large per Vargha &amp;</w:t>
      </w:r>
      <w:r>
        <w:t xml:space="preserve"> </w:t>
      </w:r>
      <w:r>
        <w:t xml:space="preserve">Delaney 2000) and Hodges–Lehmann median difference with 95% CI; Holm</w:t>
      </w:r>
      <w:r>
        <w:t xml:space="preserve"> </w:t>
      </w:r>
      <w:r>
        <w:t xml:space="preserve">adjustment within each dose-vs-control family. Per-block trend tests at n = 1</w:t>
      </w:r>
      <w:r>
        <w:t xml:space="preserve"> </w:t>
      </w:r>
      <w:r>
        <w:t xml:space="preserve">have no power and pooled trend tests would break independence, so only the</w:t>
      </w:r>
      <w:r>
        <w:t xml:space="preserve"> </w:t>
      </w:r>
      <w:r>
        <w:t xml:space="preserve">blocked Friedman is reported as inference. Significance at p &lt; 0.05;</w:t>
      </w:r>
      <w:r>
        <w:t xml:space="preserve"> </w:t>
      </w:r>
      <w:r>
        <w:t xml:space="preserve">p-values are supplementary to effect sizes. Analysis script: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 </w:t>
      </w:r>
      <w:r>
        <w:t xml:space="preserve">(statistics only, no ML).</w:t>
      </w:r>
    </w:p>
    <w:bookmarkEnd w:id="12"/>
    <w:bookmarkStart w:id="18" w:name="results-dose-response-objective-iiiiv"/>
    <w:p>
      <w:pPr>
        <w:pStyle w:val="Heading2"/>
      </w:pPr>
      <w:r>
        <w:t xml:space="preserve">5 Results — dose response (objective iii–iv)</w:t>
      </w:r>
    </w:p>
    <w:p>
      <w:pPr>
        <w:pStyle w:val="FirstParagraph"/>
      </w:pPr>
      <w:r>
        <w:t xml:space="preserve">Mean AUC falls monotonically with concentration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and</w:t>
      </w:r>
      <w:r>
        <w:t xml:space="preserve"> </w:t>
      </w:r>
      <w:r>
        <w:t xml:space="preserve">approximately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</w:t>
      </w:r>
      <w:hyperlink w:anchor="fig-dose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Dose-response tests on parasitaemia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-0.8609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ose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Mean AUC vs log10(concentration) by parasite</w:t>
            </w:r>
          </w:p>
          <w:bookmarkEnd w:id="17"/>
        </w:tc>
      </w:tr>
    </w:tbl>
    <w:bookmarkEnd w:id="18"/>
    <w:bookmarkStart w:id="20" w:name="results-doses-vs-negative-control"/>
    <w:p>
      <w:pPr>
        <w:pStyle w:val="Heading2"/>
      </w:pPr>
      <w:r>
        <w:t xml:space="preserve">6 Results — doses vs Negative Control</w:t>
      </w:r>
    </w:p>
    <w:p>
      <w:pPr>
        <w:pStyle w:val="FirstParagraph"/>
      </w:pPr>
      <w:r>
        <w:rPr>
          <w:i/>
          <w:iCs/>
        </w:rPr>
        <w:t xml:space="preserve">T. evansi</w:t>
      </w:r>
      <w:r>
        <w:t xml:space="preserve">: 100, 10 and 0.5 mg/ml all beat the control in every block</w:t>
      </w:r>
      <w:r>
        <w:t xml:space="preserve"> </w:t>
      </w:r>
      <w:r>
        <w:t xml:space="preserve">(W = 0, exact p = 0.008, Holm 0.039; HL ≈ −50/−50/−44 AUC-days). Lower doses</w:t>
      </w:r>
      <w:r>
        <w:t xml:space="preserve"> </w:t>
      </w:r>
      <w:r>
        <w:t xml:space="preserve">are weaker (Holm 0.078).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: only 100 mg/ml is suggestive</w:t>
      </w:r>
      <w:r>
        <w:t xml:space="preserve"> </w:t>
      </w:r>
      <w:r>
        <w:t xml:space="preserve">(p = 0.014, Holm 0.071) — not significant after correction.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sn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Each dose vs Negative Control on AUC (paired Wilcoxon by block;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50"/>
              <w:gridCol w:w="621"/>
              <w:gridCol w:w="232"/>
              <w:gridCol w:w="621"/>
              <w:gridCol w:w="698"/>
              <w:gridCol w:w="698"/>
              <w:gridCol w:w="698"/>
              <w:gridCol w:w="465"/>
              <w:gridCol w:w="388"/>
              <w:gridCol w:w="5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p_holm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-29.8879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-40.9700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-20.9200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-13.2549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-24.1399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-6.5875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-19.5700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-50.2992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-44.1300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-74.6025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-29.2070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-31.7213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-65.6275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-34.2379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-68.5100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-9.3983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</w:tr>
          </w:tbl>
          <w:bookmarkEnd w:id="19"/>
          <w:p/>
        </w:tc>
      </w:tr>
    </w:tbl>
    <w:bookmarkEnd w:id="20"/>
    <w:bookmarkStart w:id="26" w:name="results-plant-superiority-objective-v"/>
    <w:p>
      <w:pPr>
        <w:pStyle w:val="Heading2"/>
      </w:pPr>
      <w:r>
        <w:t xml:space="preserve">7 Results — plant superiority (objective v)</w:t>
      </w:r>
    </w:p>
    <w:p>
      <w:pPr>
        <w:pStyle w:val="FirstParagraph"/>
      </w:pPr>
      <w:r>
        <w:t xml:space="preserve">No evidence of a difference between</w:t>
      </w:r>
      <w:r>
        <w:t xml:space="preserve"> </w:t>
      </w:r>
      <w:r>
        <w:rPr>
          <w:i/>
          <w:iCs/>
        </w:rPr>
        <w:t xml:space="preserve">A.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M. oleifera</w:t>
      </w:r>
      <w:r>
        <w:t xml:space="preserve">: paired</w:t>
      </w:r>
      <w:r>
        <w:t xml:space="preserve"> </w:t>
      </w:r>
      <w:r>
        <w:t xml:space="preserve">W = 14, exact p = 1.0, HL ≈ 0.3 AUC-days, 95% CI (−14.7, +20.5); motility</w:t>
      </w:r>
      <w:r>
        <w:t xml:space="preserve"> </w:t>
      </w:r>
      <w:r>
        <w:t xml:space="preserve">paired p = 0.15. Pairs scatter on both sides of identity (</w:t>
      </w:r>
      <w:hyperlink w:anchor="fig-paired">
        <w:r>
          <w:rPr>
            <w:rStyle w:val="Hyperlink"/>
          </w:rPr>
          <w:t xml:space="preserve">Figure 2</w:t>
        </w:r>
      </w:hyperlink>
      <w:r>
        <w:t xml:space="preserve">), so</w:t>
      </w:r>
      <w:r>
        <w:t xml:space="preserve"> </w:t>
      </w:r>
      <w:r>
        <w:t xml:space="preserve">at N = 8 pairs the data cannot support a superiority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uperior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Plant superiority contrasts (8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74"/>
              <w:gridCol w:w="592"/>
              <w:gridCol w:w="222"/>
              <w:gridCol w:w="592"/>
              <w:gridCol w:w="518"/>
              <w:gridCol w:w="666"/>
              <w:gridCol w:w="592"/>
              <w:gridCol w:w="592"/>
              <w:gridCol w:w="37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-14.7283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80"/>
              <w:gridCol w:w="633"/>
              <w:gridCol w:w="237"/>
              <w:gridCol w:w="633"/>
              <w:gridCol w:w="554"/>
              <w:gridCol w:w="633"/>
              <w:gridCol w:w="554"/>
              <w:gridCol w:w="396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72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Paired block-mean AUC: A. indica vs M. oleifera</w:t>
            </w:r>
          </w:p>
          <w:bookmarkEnd w:id="25"/>
        </w:tc>
      </w:tr>
    </w:tbl>
    <w:bookmarkEnd w:id="26"/>
    <w:bookmarkStart w:id="34" w:name="results-parasite-contrast-weight-and-pcv"/>
    <w:p>
      <w:pPr>
        <w:pStyle w:val="Heading2"/>
      </w:pPr>
      <w:r>
        <w:t xml:space="preserve">8 Results — parasite contrast; weight and PCV</w:t>
      </w:r>
    </w:p>
    <w:p>
      <w:pPr>
        <w:pStyle w:val="FirstParagraph"/>
      </w:pPr>
      <w:r>
        <w:t xml:space="preserve">No parasite difference in AUC (p = 0.46). Weight and PCV deltas show no</w:t>
      </w:r>
      <w:r>
        <w:t xml:space="preserve"> </w:t>
      </w:r>
      <w:r>
        <w:t xml:space="preserve">plant or parasite signals (all p ≥ 0.15); flags below are descriptive.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Parasite, weight and PCV contrasts.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597"/>
              <w:gridCol w:w="224"/>
              <w:gridCol w:w="597"/>
              <w:gridCol w:w="523"/>
              <w:gridCol w:w="672"/>
              <w:gridCol w:w="597"/>
              <w:gridCol w:w="373"/>
              <w:gridCol w:w="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-10.6862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74"/>
              <w:gridCol w:w="745"/>
              <w:gridCol w:w="279"/>
              <w:gridCol w:w="745"/>
              <w:gridCol w:w="745"/>
              <w:gridCol w:w="745"/>
              <w:gridCol w:w="652"/>
              <w:gridCol w:w="465"/>
              <w:gridCol w:w="4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33"/>
              <w:gridCol w:w="782"/>
              <w:gridCol w:w="293"/>
              <w:gridCol w:w="782"/>
              <w:gridCol w:w="684"/>
              <w:gridCol w:w="782"/>
              <w:gridCol w:w="684"/>
              <w:gridCol w:w="488"/>
              <w:gridCol w:w="4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p_exact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hl_u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r_rb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</w:tbl>
          <w:bookmarkEnd w:id="27"/>
          <w:p/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Body-weight change Post−Pre (g)" title="" id="29" name="Picture"/>
            <a:graphic>
              <a:graphicData uri="http://schemas.openxmlformats.org/drawingml/2006/picture">
                <pic:pic>
                  <pic:nvPicPr>
                    <pic:cNvPr descr="../results/figures/weight_delta_boxplo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Body-weight change Post−Pre (g)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CV change Post−Pre (pp)" title="" id="32" name="Picture"/>
            <a:graphic>
              <a:graphicData uri="http://schemas.openxmlformats.org/drawingml/2006/picture">
                <pic:pic>
                  <pic:nvPicPr>
                    <pic:cNvPr descr="../results/figures/pcv_delta_boxplo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PCV change Post−Pre (pp)</w:t>
      </w:r>
    </w:p>
    <w:bookmarkEnd w:id="34"/>
    <w:bookmarkStart w:id="45" w:name="results-trajectories-and-phytochemistry"/>
    <w:p>
      <w:pPr>
        <w:pStyle w:val="Heading2"/>
      </w:pPr>
      <w:r>
        <w:t xml:space="preserve">9 Results — trajectories and phytochemistry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Parasitaemia trajectories by block" title="" id="36" name="Picture"/>
            <a:graphic>
              <a:graphicData uri="http://schemas.openxmlformats.org/drawingml/2006/picture">
                <pic:pic>
                  <pic:nvPicPr>
                    <pic:cNvPr descr="../results/figures/parasitemia_trajectories_facet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Parasitaemia trajectories by block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otility trajectories by block" title="" id="39" name="Picture"/>
            <a:graphic>
              <a:graphicData uri="http://schemas.openxmlformats.org/drawingml/2006/picture">
                <pic:pic>
                  <pic:nvPicPr>
                    <pic:cNvPr descr="../results/figures/motility_trajectories_facet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Motility trajectories by block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hytochemical presence by plant and part" title="" id="42" name="Picture"/>
            <a:graphic>
              <a:graphicData uri="http://schemas.openxmlformats.org/drawingml/2006/picture">
                <pic:pic>
                  <pic:nvPicPr>
                    <pic:cNvPr descr="../results/figures/phytochemical_heatmap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Phytochemical presence by plant and part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Per-compound efficacy overlays are exploratory only (n = 8 plant × part</w:t>
      </w:r>
      <w:r>
        <w:t xml:space="preserve"> </w:t>
      </w:r>
      <w:r>
        <w:t xml:space="preserve">combos) and are tabulated without inference in</w:t>
      </w:r>
      <w:r>
        <w:t xml:space="preserve"> </w:t>
      </w:r>
      <w:r>
        <w:rPr>
          <w:rStyle w:val="VerbatimChar"/>
        </w:rPr>
        <w:t xml:space="preserve">phytochemical_efficacy_overlay.csv</w:t>
      </w:r>
      <w:r>
        <w:t xml:space="preserve">.</w:t>
      </w:r>
    </w:p>
    <w:bookmarkEnd w:id="45"/>
    <w:bookmarkStart w:id="46" w:name="limitations"/>
    <w:p>
      <w:pPr>
        <w:pStyle w:val="Heading2"/>
      </w:pPr>
      <w:r>
        <w:t xml:space="preserve">10 Limitations</w:t>
      </w:r>
    </w:p>
    <w:p>
      <w:pPr>
        <w:pStyle w:val="Compact"/>
        <w:numPr>
          <w:ilvl w:val="0"/>
          <w:numId w:val="1002"/>
        </w:numPr>
      </w:pPr>
      <w:r>
        <w:t xml:space="preserve">Each CSV row is a mean of n = 3 mice; no within-group variance survives,</w:t>
      </w:r>
      <w:r>
        <w:t xml:space="preserve"> </w:t>
      </w:r>
      <w:r>
        <w:t xml:space="preserve">so all inference is at N = 16 blocks (8 per contrast) — power is low and</w:t>
      </w:r>
      <w:r>
        <w:t xml:space="preserve"> </w:t>
      </w:r>
      <w:r>
        <w:t xml:space="preserve">confidence intervals are wide; descriptive patterns carry the weight.</w:t>
      </w:r>
    </w:p>
    <w:p>
      <w:pPr>
        <w:pStyle w:val="Compact"/>
        <w:numPr>
          <w:ilvl w:val="0"/>
          <w:numId w:val="1002"/>
        </w:numPr>
      </w:pPr>
      <w:r>
        <w:t xml:space="preserve">Control identities/doses are unknown in the source; Positive Control is a</w:t>
      </w:r>
      <w:r>
        <w:t xml:space="preserve"> </w:t>
      </w:r>
      <w:r>
        <w:t xml:space="preserve">validity reference, not a non-inferiority comparator.</w:t>
      </w:r>
    </w:p>
    <w:p>
      <w:pPr>
        <w:pStyle w:val="Compact"/>
        <w:numPr>
          <w:ilvl w:val="0"/>
          <w:numId w:val="1002"/>
        </w:numPr>
      </w:pPr>
      <w:r>
        <w:t xml:space="preserve">Death-censored AUC favours early-death groups numerically; every AUC is</w:t>
      </w:r>
      <w:r>
        <w:t xml:space="preserve"> </w:t>
      </w:r>
      <w:r>
        <w:t xml:space="preserve">therefore reported alongside mortality — low AUC with high mortality reads</w:t>
      </w:r>
      <w:r>
        <w:t xml:space="preserve"> </w:t>
      </w:r>
      <w:r>
        <w:t xml:space="preserve">as failure, not efficacy.</w:t>
      </w:r>
    </w:p>
    <w:p>
      <w:pPr>
        <w:pStyle w:val="Compact"/>
        <w:numPr>
          <w:ilvl w:val="0"/>
          <w:numId w:val="1002"/>
        </w:numPr>
      </w:pPr>
      <w:r>
        <w:t xml:space="preserve">NA = death is an adopted convention (Sheet 2 never states it); confirm</w:t>
      </w:r>
      <w:r>
        <w:t xml:space="preserve"> </w:t>
      </w:r>
      <w:r>
        <w:t xml:space="preserve">against the thesis animal records if possible.</w:t>
      </w:r>
    </w:p>
    <w:bookmarkEnd w:id="46"/>
    <w:bookmarkStart w:id="47" w:name="references-methods"/>
    <w:p>
      <w:pPr>
        <w:pStyle w:val="Heading2"/>
      </w:pPr>
      <w:r>
        <w:t xml:space="preserve">11 References (methods)</w:t>
      </w:r>
    </w:p>
    <w:p>
      <w:pPr>
        <w:pStyle w:val="Compact"/>
        <w:numPr>
          <w:ilvl w:val="0"/>
          <w:numId w:val="1003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3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3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3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3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3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3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3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2026-09-11T01:17:00Z</dcterms:created>
  <dcterms:modified xsi:type="dcterms:W3CDTF">2026-09-11T01:17:00Z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