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84.png" ContentType="image/png"/>
  <Override PartName="/word/media/rId42.png" ContentType="image/png"/>
  <Override PartName="/word/media/rId38.png" ContentType="image/png"/>
  <Override PartName="/word/media/rId16.png" ContentType="image/png"/>
  <Override PartName="/word/media/rId26.png" ContentType="image/png"/>
  <Override PartName="/word/media/rId58.png" ContentType="image/png"/>
  <Override PartName="/word/media/rId32.png" ContentType="image/png"/>
  <Override PartName="/word/media/rId52.png" ContentType="image/png"/>
  <Override PartName="/word/media/rId67.png" ContentType="image/png"/>
  <Override PartName="/word/media/rId20.png" ContentType="image/png"/>
  <Override PartName="/word/media/rId74.png" ContentType="image/png"/>
  <Override PartName="/word/media/rId78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Anti-Trypanosomal Activity of Azadirachta indica and Moringa oleifera against Trypanosoma congolense and T. evansi — Statistical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2"/>
      </w:pPr>
      <w:r>
        <w:t xml:space="preserve">1 Abstract</w:t>
      </w:r>
    </w:p>
    <w:p>
      <w:pPr>
        <w:pStyle w:val="FirstParagraph"/>
      </w:pPr>
      <w:r>
        <w:t xml:space="preserve">Methanolic extracts of</w:t>
      </w:r>
      <w:r>
        <w:t xml:space="preserve"> </w:t>
      </w:r>
      <w:r>
        <w:rPr>
          <w:i/>
          <w:iCs/>
        </w:rPr>
        <w:t xml:space="preserve">Azadirachta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Moringa oleifera</w:t>
      </w:r>
      <w:r>
        <w:t xml:space="preserve"> </w:t>
      </w:r>
      <w:r>
        <w:t xml:space="preserve">(leaves,</w:t>
      </w:r>
      <w:r>
        <w:t xml:space="preserve"> </w:t>
      </w:r>
      <w:r>
        <w:t xml:space="preserve">stem bark, roots, seeds) were tested against</w:t>
      </w:r>
      <w:r>
        <w:t xml:space="preserve"> </w:t>
      </w:r>
      <w:r>
        <w:rPr>
          <w:i/>
          <w:iCs/>
        </w:rPr>
        <w:t xml:space="preserve">Trypanosoma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in motility assays and in albino mice (N = 16 plant × part ×</w:t>
      </w:r>
      <w:r>
        <w:t xml:space="preserve"> </w:t>
      </w:r>
      <w:r>
        <w:t xml:space="preserve">parasite blocks; group means of n = 3 mice). Both parasites show a clear,</w:t>
      </w:r>
      <w:r>
        <w:t xml:space="preserve"> </w:t>
      </w:r>
      <w:r>
        <w:t xml:space="preserve">monotonic dose response: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significantly (parasitaemia Friedman</w:t>
      </w:r>
      <w:r>
        <w:t xml:space="preserve"> </w:t>
      </w:r>
      <w:r>
        <w:t xml:space="preserve">p = 0.006; top three doses beat control, Holm 0.039; motility Friedman</w:t>
      </w:r>
      <w:r>
        <w:t xml:space="preserve"> </w:t>
      </w:r>
      <w:r>
        <w:t xml:space="preserve">p &lt; 0.001) and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suggestively (parasitaemia Friedman p = 0.074;</w:t>
      </w:r>
      <w:r>
        <w:t xml:space="preserve"> </w:t>
      </w:r>
      <w:r>
        <w:t xml:space="preserve">100 mg/ml Holm 0.071; motility Friedman p &lt; 0.001 with post-hocs just above</w:t>
      </w:r>
      <w:r>
        <w:t xml:space="preserve"> </w:t>
      </w:r>
      <w:r>
        <w:t xml:space="preserve">threshold). At 100 mg/ml the mean peak parasitaemia is zero in both parasites</w:t>
      </w:r>
      <w:r>
        <w:t xml:space="preserve"> </w:t>
      </w:r>
      <w:r>
        <w:t xml:space="preserve">with no deaths, against peak LEV 5 and universal mortality in Negative</w:t>
      </w:r>
      <w:r>
        <w:t xml:space="preserve"> </w:t>
      </w:r>
      <w:r>
        <w:t xml:space="preserve">Controls. No evidence separates the two plants (paired p = 1.0, HL 0.3</w:t>
      </w:r>
      <w:r>
        <w:t xml:space="preserve"> </w:t>
      </w:r>
      <w:r>
        <w:t xml:space="preserve">[−14.7, 20.5]). All inference is block-level and rank-based; every headline</w:t>
      </w:r>
      <w:r>
        <w:t xml:space="preserve"> </w:t>
      </w:r>
      <w:r>
        <w:t xml:space="preserve">claim survived leave-one-block-out sensitivity analysis.</w:t>
      </w:r>
    </w:p>
    <w:bookmarkEnd w:id="9"/>
    <w:bookmarkStart w:id="10" w:name="aim-objectives-and-section-map"/>
    <w:p>
      <w:pPr>
        <w:pStyle w:val="Heading2"/>
      </w:pPr>
      <w:r>
        <w:t xml:space="preserve">2 1. Aim, objectives and section map</w:t>
      </w:r>
    </w:p>
    <w:p>
      <w:pPr>
        <w:pStyle w:val="FirstParagraph"/>
      </w:pPr>
      <w:r>
        <w:t xml:space="preserve">The aim of this study is to comparatively evaluate the anti-trypanosomal</w:t>
      </w:r>
      <w:r>
        <w:t xml:space="preserve"> </w:t>
      </w:r>
      <w:r>
        <w:t xml:space="preserve">activity of methanolic extracts of the leaves, stem bark, roots and seeds of</w:t>
      </w:r>
      <w:r>
        <w:t xml:space="preserve"> </w:t>
      </w:r>
      <w:r>
        <w:rPr>
          <w:i/>
          <w:iCs/>
        </w:rPr>
        <w:t xml:space="preserve">Azadirachta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Moringa oleifera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Trypanosoma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(thesis §1.8.1). Each specific objective (§1.8.2) is addressed</w:t>
      </w:r>
      <w:r>
        <w:t xml:space="preserve"> </w:t>
      </w:r>
      <w:r>
        <w:t xml:space="preserve">in a dedicated results section — extraction (i) in §5.1, phytochemical</w:t>
      </w:r>
      <w:r>
        <w:t xml:space="preserve"> </w:t>
      </w:r>
      <w:r>
        <w:t xml:space="preserve">characterisation (ii) in §5.2, the motility assay (iii) in §5.3, in-vivo</w:t>
      </w:r>
      <w:r>
        <w:t xml:space="preserve"> </w:t>
      </w:r>
      <w:r>
        <w:t xml:space="preserve">infectivity (iv) in §5.4, superiority (v) in §5.5 — each opening with</w:t>
      </w:r>
      <w:r>
        <w:t xml:space="preserve"> </w:t>
      </w:r>
      <w:r>
        <w:t xml:space="preserve">exploratory description before any inference, and each discussed jointly in</w:t>
      </w:r>
      <w:r>
        <w:t xml:space="preserve"> </w:t>
      </w:r>
      <w:r>
        <w:t xml:space="preserve">§7. Diagnostics, limitations and references follow in §6, §8 and §9.</w:t>
      </w:r>
    </w:p>
    <w:bookmarkEnd w:id="10"/>
    <w:bookmarkStart w:id="11" w:name="data-and-experimental-design"/>
    <w:p>
      <w:pPr>
        <w:pStyle w:val="Heading2"/>
      </w:pPr>
      <w:r>
        <w:t xml:space="preserve">3 2. Data and experimental design</w:t>
      </w:r>
    </w:p>
    <w:p>
      <w:pPr>
        <w:pStyle w:val="FirstParagraph"/>
      </w:pPr>
      <w:r>
        <w:t xml:space="preserve">Source data are group means of n = 3 mice per group, parsed from Sheet 2 of</w:t>
      </w:r>
      <w:r>
        <w:t xml:space="preserve"> </w:t>
      </w:r>
      <w:r>
        <w:t xml:space="preserve">the study workbook into tidy CSVs (</w:t>
      </w:r>
      <w:r>
        <w:rPr>
          <w:rStyle w:val="VerbatimChar"/>
        </w:rPr>
        <w:t xml:space="preserve">analysis/data/</w:t>
      </w:r>
      <w:r>
        <w:t xml:space="preserve">, builder</w:t>
      </w:r>
      <w:r>
        <w:t xml:space="preserve"> </w:t>
      </w:r>
      <w:r>
        <w:rPr>
          <w:rStyle w:val="VerbatimChar"/>
        </w:rPr>
        <w:t xml:space="preserve">analysis/R/01_build_datasets.R</w:t>
      </w:r>
      <w:r>
        <w:t xml:space="preserve">). Within any block each of the 7 groups is</w:t>
      </w:r>
      <w:r>
        <w:t xml:space="preserve"> </w:t>
      </w:r>
      <w:r>
        <w:t xml:space="preserve">therefore n = 1 (descriptive only); the analytical unit is the</w:t>
      </w:r>
      <w:r>
        <w:t xml:space="preserve"> </w:t>
      </w:r>
      <w:r>
        <w:rPr>
          <w:b/>
          <w:bCs/>
        </w:rPr>
        <w:t xml:space="preserve">block</w:t>
      </w:r>
      <w:r>
        <w:rPr>
          <w:b/>
          <w:bCs/>
        </w:rPr>
        <w:t xml:space="preserve"> </w:t>
      </w:r>
      <w:r>
        <w:rPr>
          <w:b/>
          <w:bCs/>
        </w:rPr>
        <w:t xml:space="preserve">(N = 16; 8 per plant, 8 per parasite)</w:t>
      </w:r>
      <w:r>
        <w:t xml:space="preserve">. Plant contrasts pair by part ×</w:t>
      </w:r>
      <w:r>
        <w:t xml:space="preserve"> </w:t>
      </w:r>
      <w:r>
        <w:t xml:space="preserve">parasite (8 pairs); parasite contrasts pair by plant × part (8 pairs).</w:t>
      </w:r>
      <w:r>
        <w:t xml:space="preserve"> </w:t>
      </w:r>
      <w:r>
        <w:t xml:space="preserve">Controls appear as labelled in the source (identities/doses unstated), so the</w:t>
      </w:r>
      <w:r>
        <w:t xml:space="preserve"> </w:t>
      </w:r>
      <w:r>
        <w:t xml:space="preserve">Positive Control is an assay-validity reference only. A consequence of the</w:t>
      </w:r>
      <w:r>
        <w:t xml:space="preserve"> </w:t>
      </w:r>
      <w:r>
        <w:t xml:space="preserve">group-mean design, stressed throughout this report, is that no within-group</w:t>
      </w:r>
      <w:r>
        <w:t xml:space="preserve"> </w:t>
      </w:r>
      <w:r>
        <w:t xml:space="preserve">variance survives: every p-value below is computed over at most eight</w:t>
      </w:r>
      <w:r>
        <w:t xml:space="preserve"> </w:t>
      </w:r>
      <w:r>
        <w:t xml:space="preserve">paired blocks, power is low by construction, and effect sizes with confidence</w:t>
      </w:r>
      <w:r>
        <w:t xml:space="preserve"> </w:t>
      </w:r>
      <w:r>
        <w:t xml:space="preserve">intervals — not significance stars — are the primary read-out.</w:t>
      </w:r>
    </w:p>
    <w:bookmarkEnd w:id="11"/>
    <w:bookmarkStart w:id="12" w:name="endpoints"/>
    <w:p>
      <w:pPr>
        <w:pStyle w:val="Heading2"/>
      </w:pPr>
      <w:r>
        <w:t xml:space="preserve">4 3. Endpoints</w:t>
      </w:r>
    </w:p>
    <w:p>
      <w:pPr>
        <w:pStyle w:val="FirstParagraph"/>
      </w:pPr>
      <w:r>
        <w:t xml:space="preserve">Parasitaemia (LEV 0–5 ordinal): primary</w:t>
      </w:r>
      <w:r>
        <w:t xml:space="preserve"> </w:t>
      </w:r>
      <w:r>
        <w:rPr>
          <w:b/>
          <w:bCs/>
        </w:rPr>
        <w:t xml:space="preserve">AUC</w:t>
      </w:r>
      <w:r>
        <w:t xml:space="preserve"> </w:t>
      </w:r>
      <w:r>
        <w:t xml:space="preserve">(death-censored trapezoid,</w:t>
      </w:r>
      <w:r>
        <w:t xml:space="preserve"> </w:t>
      </w:r>
      <w:r>
        <w:t xml:space="preserve">always with mortality), supported by peak LEV, clearance day and day-40</w:t>
      </w:r>
      <w:r>
        <w:t xml:space="preserve"> </w:t>
      </w:r>
      <w:r>
        <w:t xml:space="preserve">status — day-40 alone is degenerate (0/112 positive; positivity peaks ~30%</w:t>
      </w:r>
      <w:r>
        <w:t xml:space="preserve"> </w:t>
      </w:r>
      <w:r>
        <w:t xml:space="preserve">at days 9–14). Motility: TTI, t120, mean proportion motile (key:</w:t>
      </w:r>
      <w:r>
        <w:t xml:space="preserve"> </w:t>
      </w:r>
      <w:r>
        <w:rPr>
          <w:rStyle w:val="VerbatimChar"/>
        </w:rPr>
        <w:t xml:space="preserve">+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− No motility</w:t>
      </w:r>
      <w:r>
        <w:t xml:space="preserve">;</w:t>
      </w:r>
      <w:r>
        <w:t xml:space="preserve"> </w:t>
      </w:r>
      <w:r>
        <w:rPr>
          <w:rStyle w:val="VerbatimChar"/>
        </w:rPr>
        <w:t xml:space="preserve">+-</w:t>
      </w:r>
      <w:r>
        <w:t xml:space="preserve"> </w:t>
      </w:r>
      <w:r>
        <w:t xml:space="preserve">→ NA, 2 cells). Weight/PCV: Δ = Post − Pre with</w:t>
      </w:r>
      <w:r>
        <w:t xml:space="preserve"> </w:t>
      </w:r>
      <w:r>
        <w:t xml:space="preserve">literature flags (anaemia: Post &lt; 35% or ≥ 25% drop, severe &lt; 30%/≥ 40%;</w:t>
      </w:r>
      <w:r>
        <w:t xml:space="preserve"> </w:t>
      </w:r>
      <w:r>
        <w:t xml:space="preserve">weight signal ≥ 10% loss, severe ≥ 20%). Raw LEV &gt; 5 (42 cells) capped to 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lev_raw</w:t>
      </w:r>
      <w:r>
        <w:t xml:space="preserve"> </w:t>
      </w:r>
      <w:r>
        <w:t xml:space="preserve">preserved and flagged. Missing in-vivo values = death</w:t>
      </w:r>
      <w:r>
        <w:t xml:space="preserve"> </w:t>
      </w:r>
      <w:r>
        <w:t xml:space="preserve">(adopted convention, never imputed).</w:t>
      </w:r>
    </w:p>
    <w:bookmarkEnd w:id="12"/>
    <w:bookmarkStart w:id="13" w:name="statistical-methods"/>
    <w:p>
      <w:pPr>
        <w:pStyle w:val="Heading2"/>
      </w:pPr>
      <w:r>
        <w:t xml:space="preserve">5 4. Statistical methods</w:t>
      </w:r>
    </w:p>
    <w:p>
      <w:pPr>
        <w:pStyle w:val="FirstParagraph"/>
      </w:pPr>
      <w:r>
        <w:t xml:space="preserve">Description first (trajectories, endpoint tables, flags), then rank-based</w:t>
      </w:r>
      <w:r>
        <w:t xml:space="preserve"> </w:t>
      </w:r>
      <w:r>
        <w:t xml:space="preserve">inference: Friedman blocked by block for dose trends with pooled Spearman ρ</w:t>
      </w:r>
      <w:r>
        <w:t xml:space="preserve"> </w:t>
      </w:r>
      <w:r>
        <w:t xml:space="preserve">on log10 dose; paired Wilcoxon signed-rank (exact when tie-free, otherwise</w:t>
      </w:r>
      <w:r>
        <w:t xml:space="preserve"> </w:t>
      </w:r>
      <w:r>
        <w:t xml:space="preserve">the continuity-corrected normal approximation — §6) for dose-vs-control</w:t>
      </w:r>
      <w:r>
        <w:t xml:space="preserve"> </w:t>
      </w:r>
      <w:r>
        <w:t xml:space="preserve">post-hocs and plant/parasite contrasts, with matched-pairs rank-biserial</w:t>
      </w:r>
      <w:r>
        <w:t xml:space="preserve"> </w:t>
      </w:r>
      <w:r>
        <w:t xml:space="preserve">effect size (|r| ≥ 0.11/0.28/0.43) and Hodges–Lehmann median difference with</w:t>
      </w:r>
      <w:r>
        <w:t xml:space="preserve"> </w:t>
      </w:r>
      <w:r>
        <w:t xml:space="preserve">95% CI. Dose-vs-control families are Holm-adjusted per parasite; plant and</w:t>
      </w:r>
      <w:r>
        <w:t xml:space="preserve"> </w:t>
      </w:r>
      <w:r>
        <w:t xml:space="preserve">parasite questions are independent and uncorrected across questions.</w:t>
      </w:r>
      <w:r>
        <w:t xml:space="preserve"> </w:t>
      </w:r>
      <w:r>
        <w:t xml:space="preserve">Per-block trend tests at n = 1 lack power, so only the blocked Friedman is</w:t>
      </w:r>
      <w:r>
        <w:t xml:space="preserve"> </w:t>
      </w:r>
      <w:r>
        <w:t xml:space="preserve">inferential. Significance p &lt; 0.05, p-values supplementary to effects.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analysis/R/02_analysis.R</w:t>
      </w:r>
      <w:r>
        <w:t xml:space="preserve"> </w:t>
      </w:r>
      <w:r>
        <w:t xml:space="preserve">(statistics only, no ML).</w:t>
      </w:r>
    </w:p>
    <w:bookmarkEnd w:id="13"/>
    <w:bookmarkStart w:id="14" w:name="objective-i-methanolic-extraction"/>
    <w:p>
      <w:pPr>
        <w:pStyle w:val="Heading2"/>
      </w:pPr>
      <w:r>
        <w:t xml:space="preserve">6 5.1. Objective i — methanolic extraction</w:t>
      </w:r>
    </w:p>
    <w:p>
      <w:pPr>
        <w:pStyle w:val="FirstParagraph"/>
      </w:pPr>
      <w:r>
        <w:t xml:space="preserve">Objective i is a laboratory procedure with no statistical component — no</w:t>
      </w:r>
      <w:r>
        <w:t xml:space="preserve"> </w:t>
      </w:r>
      <w:r>
        <w:t xml:space="preserve">yields or replicates are recorded — so there is nothing to estimate or test.</w:t>
      </w:r>
      <w:r>
        <w:t xml:space="preserve"> </w:t>
      </w:r>
      <w:r>
        <w:t xml:space="preserve">It is noted here solely to keep the objective map complete; the statistical</w:t>
      </w:r>
      <w:r>
        <w:t xml:space="preserve"> </w:t>
      </w:r>
      <w:r>
        <w:t xml:space="preserve">story begins with the characterised extracts.</w:t>
      </w:r>
    </w:p>
    <w:bookmarkEnd w:id="14"/>
    <w:bookmarkStart w:id="24" w:name="objective-ii-phytochemical-contents"/>
    <w:p>
      <w:pPr>
        <w:pStyle w:val="Heading2"/>
      </w:pPr>
      <w:r>
        <w:t xml:space="preserve">7 5.2. Objective ii — phytochemical contents</w:t>
      </w:r>
    </w:p>
    <w:p>
      <w:pPr>
        <w:pStyle w:val="FirstParagraph"/>
      </w:pPr>
      <w:r>
        <w:t xml:space="preserve">Exploration first. Screening recovered 8 of the 12 assayed classes in at</w:t>
      </w:r>
      <w:r>
        <w:t xml:space="preserve"> </w:t>
      </w:r>
      <w:r>
        <w:t xml:space="preserve">least one extract, with richness concentrated in leaves (6 of 12 in both</w:t>
      </w:r>
      <w:r>
        <w:t xml:space="preserve"> </w:t>
      </w:r>
      <w:r>
        <w:t xml:space="preserve">plants) and lowest in stem bark (</w:t>
      </w:r>
      <w:r>
        <w:rPr>
          <w:i/>
          <w:iCs/>
        </w:rPr>
        <w:t xml:space="preserve">A. indica</w:t>
      </w:r>
      <w:r>
        <w:t xml:space="preserve"> </w:t>
      </w:r>
      <w:r>
        <w:t xml:space="preserve">3,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4) and roots</w:t>
      </w:r>
      <w:r>
        <w:t xml:space="preserve"> </w:t>
      </w:r>
      <w:r>
        <w:t xml:space="preserve">(3 and 4); seeds sit in between (5 and 4) (</w:t>
      </w:r>
      <w:hyperlink w:anchor="tbl-phyto">
        <w:r>
          <w:rPr>
            <w:rStyle w:val="Hyperlink"/>
          </w:rPr>
          <w:t xml:space="preserve">Table 1</w:t>
        </w:r>
      </w:hyperlink>
      <w:r>
        <w:t xml:space="preserve">;</w:t>
      </w:r>
      <w:r>
        <w:t xml:space="preserve"> </w:t>
      </w:r>
      <w:hyperlink w:anchor="fig-rich">
        <w:r>
          <w:rPr>
            <w:rStyle w:val="Hyperlink"/>
          </w:rPr>
          <w:t xml:space="preserve">Figure 1</w:t>
        </w:r>
      </w:hyperlink>
      <w:r>
        <w:t xml:space="preserve">). Two</w:t>
      </w:r>
      <w:r>
        <w:t xml:space="preserve"> </w:t>
      </w:r>
      <w:r>
        <w:t xml:space="preserve">classes are universal — Saponin and Carbohydrates appear in all eight</w:t>
      </w:r>
      <w:r>
        <w:t xml:space="preserve"> </w:t>
      </w:r>
      <w:r>
        <w:t xml:space="preserve">plant × part combinations — and four are absent everywhere (Anthraquinone,</w:t>
      </w:r>
      <w:r>
        <w:t xml:space="preserve"> </w:t>
      </w:r>
      <w:r>
        <w:t xml:space="preserve">Phlobatanins, Oxalates, Phytates), so neither group discriminates the</w:t>
      </w:r>
      <w:r>
        <w:t xml:space="preserve"> </w:t>
      </w:r>
      <w:r>
        <w:t xml:space="preserve">plants. Tannins follow a striking part pattern, present everywhere except</w:t>
      </w:r>
      <w:r>
        <w:t xml:space="preserve"> </w:t>
      </w:r>
      <w:r>
        <w:t xml:space="preserve">seeds in both plants. The differentiating classes are few and part-specific:</w:t>
      </w:r>
      <w:r>
        <w:t xml:space="preserve"> </w:t>
      </w:r>
      <w:r>
        <w:t xml:space="preserve">Steroids occur only in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 and seeds; Alkaloids in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leaves and roots plus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leaves; Terpenoids solely in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stem bark; Flavonoids in the leaves and seeds of both plants; and</w:t>
      </w:r>
      <w:r>
        <w:t xml:space="preserve"> </w:t>
      </w:r>
      <w:r>
        <w:t xml:space="preserve">Glucosides in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leaves and seeds but only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seeds</w:t>
      </w:r>
      <w:r>
        <w:t xml:space="preserve"> </w:t>
      </w:r>
      <w:r>
        <w:t xml:space="preserve">(</w:t>
      </w:r>
      <w:hyperlink w:anchor="fig-phyto-hm">
        <w:r>
          <w:rPr>
            <w:rStyle w:val="Hyperlink"/>
          </w:rPr>
          <w:t xml:space="preserve">Figure 2</w:t>
        </w:r>
      </w:hyperlink>
      <w:r>
        <w:t xml:space="preserve">). Concretely,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 carry Saponin, Steroid,</w:t>
      </w:r>
      <w:r>
        <w:t xml:space="preserve"> </w:t>
      </w:r>
      <w:r>
        <w:t xml:space="preserve">Alkaloid, Flavonoid, Tannins and Carbohydrates, while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leaves</w:t>
      </w:r>
      <w:r>
        <w:t xml:space="preserve"> </w:t>
      </w:r>
      <w:r>
        <w:t xml:space="preserve">carry Saponin, Alkaloid, Flavonoid, Glucosides, Tannins and Carbohydrates —</w:t>
      </w:r>
      <w:r>
        <w:t xml:space="preserve"> </w:t>
      </w:r>
      <w:r>
        <w:t xml:space="preserve">the same richness (6/12) with Steroid/Glucosides swapped. With only eight</w:t>
      </w:r>
      <w:r>
        <w:t xml:space="preserve"> </w:t>
      </w:r>
      <w:r>
        <w:t xml:space="preserve">plant × part combinations no test has power, so inference stops here: the</w:t>
      </w:r>
      <w:r>
        <w:t xml:space="preserve"> </w:t>
      </w:r>
      <w:r>
        <w:t xml:space="preserve">matrix is the result, and compound–efficacy overlays are tabulated</w:t>
      </w:r>
      <w:r>
        <w:t xml:space="preserve"> </w:t>
      </w:r>
      <w:r>
        <w:t xml:space="preserve">exploratorily without tests (</w:t>
      </w:r>
      <w:r>
        <w:rPr>
          <w:rStyle w:val="VerbatimChar"/>
        </w:rPr>
        <w:t xml:space="preserve">phytochemical_efficacy_overlay.csv</w:t>
      </w:r>
      <w:r>
        <w:t xml:space="preserve">). The</w:t>
      </w:r>
      <w:r>
        <w:t xml:space="preserve"> </w:t>
      </w:r>
      <w:r>
        <w:t xml:space="preserve">relevance for §7 is that the two plants’ chemical arsenals overlap heavily</w:t>
      </w:r>
      <w:r>
        <w:t xml:space="preserve"> </w:t>
      </w:r>
      <w:r>
        <w:t xml:space="preserve">(universal Saponin/Carbohydrates/Tannins), which foreshadows the null</w:t>
      </w:r>
      <w:r>
        <w:t xml:space="preserve"> </w:t>
      </w:r>
      <w:r>
        <w:t xml:space="preserve">superiority finding — but with n = 8 this remains a consistency observation,</w:t>
      </w:r>
      <w:r>
        <w:t xml:space="preserve"> </w:t>
      </w:r>
      <w:r>
        <w:t xml:space="preserve">not a tested mediation.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phy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Phytochemical richness per plant and part (descriptive).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n_present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n_absent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rich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richness_bar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Richness: classes present of 12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hyto-hm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hytochemical_heatma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Phytochemical presence by plant and part</w:t>
            </w:r>
          </w:p>
          <w:bookmarkEnd w:id="23"/>
        </w:tc>
      </w:tr>
    </w:tbl>
    <w:bookmarkEnd w:id="24"/>
    <w:bookmarkStart w:id="36" w:name="X6aa15a9a3061acaa265f726b06ec49122a5cdd2"/>
    <w:p>
      <w:pPr>
        <w:pStyle w:val="Heading2"/>
      </w:pPr>
      <w:r>
        <w:t xml:space="preserve">8 5.3. Objective iii — in-vitro motility dose response</w:t>
      </w:r>
    </w:p>
    <w:p>
      <w:pPr>
        <w:pStyle w:val="FirstParagraph"/>
      </w:pPr>
      <w:r>
        <w:t xml:space="preserve">Exploration shows a textbook gradient. Median TTI rises monotonically as</w:t>
      </w:r>
      <w:r>
        <w:t xml:space="preserve"> </w:t>
      </w:r>
      <w:r>
        <w:t xml:space="preserve">concentration falls: 15 min at 100 mg/ml in both parasites with zero</w:t>
      </w:r>
      <w:r>
        <w:t xml:space="preserve"> </w:t>
      </w:r>
      <w:r>
        <w:t xml:space="preserve">censoring, 22–30 min at 10 mg/ml, 45–53 min at 0.5 mg/ml, 60–75 min at</w:t>
      </w:r>
      <w:r>
        <w:t xml:space="preserve"> </w:t>
      </w:r>
      <w:r>
        <w:t xml:space="preserve">0.01 mg/ml, 90–105 min at 0.005 mg/ml, and fully censored Negative Controls</w:t>
      </w:r>
      <w:r>
        <w:t xml:space="preserve"> </w:t>
      </w:r>
      <w:r>
        <w:t xml:space="preserve">(all 8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NC groups never immobilise; 6 of 8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NC groups</w:t>
      </w:r>
      <w:r>
        <w:t xml:space="preserve"> </w:t>
      </w:r>
      <w:r>
        <w:t xml:space="preserve">likewise), while mean t120 motility climbs from 0 at the top doses to 0.67</w:t>
      </w:r>
      <w:r>
        <w:t xml:space="preserve"> </w:t>
      </w:r>
      <w:r>
        <w:t xml:space="preserve">(</w:t>
      </w:r>
      <w:r>
        <w:rPr>
          <w:i/>
          <w:iCs/>
        </w:rPr>
        <w:t xml:space="preserve">congolense</w:t>
      </w:r>
      <w:r>
        <w:t xml:space="preserve"> </w:t>
      </w:r>
      <w:r>
        <w:t xml:space="preserve">NC) and 1.0 (</w:t>
      </w:r>
      <w:r>
        <w:rPr>
          <w:i/>
          <w:iCs/>
        </w:rPr>
        <w:t xml:space="preserve">evansi</w:t>
      </w:r>
      <w:r>
        <w:t xml:space="preserve"> </w:t>
      </w:r>
      <w:r>
        <w:t xml:space="preserve">NC) (</w:t>
      </w:r>
      <w:hyperlink w:anchor="tbl-tti">
        <w:r>
          <w:rPr>
            <w:rStyle w:val="Hyperlink"/>
          </w:rPr>
          <w:t xml:space="preserve">Table 2</w:t>
        </w:r>
      </w:hyperlink>
      <w:r>
        <w:t xml:space="preserve">;</w:t>
      </w:r>
      <w:r>
        <w:t xml:space="preserve"> </w:t>
      </w:r>
      <w:hyperlink w:anchor="fig-tti">
        <w:r>
          <w:rPr>
            <w:rStyle w:val="Hyperlink"/>
          </w:rPr>
          <w:t xml:space="preserve">Figure 3</w:t>
        </w:r>
      </w:hyperlink>
      <w:r>
        <w:t xml:space="preserve">). Trajectories</w:t>
      </w:r>
      <w:r>
        <w:t xml:space="preserve"> </w:t>
      </w:r>
      <w:r>
        <w:t xml:space="preserve">(</w:t>
      </w:r>
      <w:hyperlink w:anchor="fig-mot-traj">
        <w:r>
          <w:rPr>
            <w:rStyle w:val="Hyperlink"/>
          </w:rPr>
          <w:t xml:space="preserve">Figure 4</w:t>
        </w:r>
      </w:hyperlink>
      <w:r>
        <w:t xml:space="preserve">) confirm rapid kill at high doses — 100 mg/ml immobilises</w:t>
      </w:r>
      <w:r>
        <w:t xml:space="preserve"> </w:t>
      </w:r>
      <w:r>
        <w:t xml:space="preserve">within 15–30 minutes in most blocks — and validate the assay: the recovered</w:t>
      </w:r>
      <w:r>
        <w:t xml:space="preserve"> </w:t>
      </w:r>
      <w:r>
        <w:t xml:space="preserve">Positive Control rows show + at t = 0 and immobility thereafter in all 16</w:t>
      </w:r>
      <w:r>
        <w:t xml:space="preserve"> </w:t>
      </w:r>
      <w:r>
        <w:t xml:space="preserve">tables. Inference follows the description. The blocked dose trend is highly</w:t>
      </w:r>
      <w:r>
        <w:t xml:space="preserve"> </w:t>
      </w:r>
      <w:r>
        <w:t xml:space="preserve">significant for both parasites (</w:t>
      </w:r>
      <w:hyperlink w:anchor="tbl-mot-dose">
        <w:r>
          <w:rPr>
            <w:rStyle w:val="Hyperlink"/>
          </w:rPr>
          <w:t xml:space="preserve">Table 3</w:t>
        </w:r>
      </w:hyperlink>
      <w:r>
        <w:t xml:space="preserve">: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Friedman</w:t>
      </w:r>
      <w:r>
        <w:t xml:space="preserve"> </w:t>
      </w:r>
      <w:r>
        <w:t xml:space="preserve">Q = 27.75, p &lt; 0.001, pooled ρ = −0.70;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Q = 30.32, p &lt; 0.001,</w:t>
      </w:r>
      <w:r>
        <w:t xml:space="preserve"> </w:t>
      </w:r>
      <w:r>
        <w:t xml:space="preserve">ρ = −0.88). Post-hoc dose-vs-control contrasts (</w:t>
      </w:r>
      <w:hyperlink w:anchor="tbl-mot-posthoc">
        <w:r>
          <w:rPr>
            <w:rStyle w:val="Hyperlink"/>
          </w:rPr>
          <w:t xml:space="preserve">Table 4</w:t>
        </w:r>
      </w:hyperlink>
      <w:r>
        <w:t xml:space="preserve">) carry</w:t>
      </w:r>
      <w:r>
        <w:t xml:space="preserve"> </w:t>
      </w:r>
      <w:r>
        <w:t xml:space="preserve">large, consistent effects at the top doses — rank-biserial −1 throughout,</w:t>
      </w:r>
      <w:r>
        <w:t xml:space="preserve"> </w:t>
      </w:r>
      <w:r>
        <w:t xml:space="preserve">HL reductions of −0.83 (</w:t>
      </w:r>
      <w:r>
        <w:rPr>
          <w:i/>
          <w:iCs/>
        </w:rPr>
        <w:t xml:space="preserve">congolense</w:t>
      </w:r>
      <w:r>
        <w:t xml:space="preserve"> </w:t>
      </w:r>
      <w:r>
        <w:t xml:space="preserve">100 mg/ml, 95% CI [−0.94, −0.72]) and</w:t>
      </w:r>
      <w:r>
        <w:t xml:space="preserve"> </w:t>
      </w:r>
      <w:r>
        <w:t xml:space="preserve">−0.89 (</w:t>
      </w:r>
      <w:r>
        <w:rPr>
          <w:i/>
          <w:iCs/>
        </w:rPr>
        <w:t xml:space="preserve">evansi</w:t>
      </w:r>
      <w:r>
        <w:t xml:space="preserve"> </w:t>
      </w:r>
      <w:r>
        <w:t xml:space="preserve">100 mg/ml, [−0.94, −0.83]) — that sit just above</w:t>
      </w:r>
      <w:r>
        <w:t xml:space="preserve"> </w:t>
      </w:r>
      <w:r>
        <w:t xml:space="preserve">Holm-adjusted significance (0.065 and 0.052; 10 mg/ml: 0.085 and 0.052).</w:t>
      </w:r>
      <w:r>
        <w:t xml:space="preserve"> </w:t>
      </w:r>
      <w:r>
        <w:t xml:space="preserve">Lower doses are indistinguishable from the control (0.5 mg/ml Holm 0.17 and</w:t>
      </w:r>
      <w:r>
        <w:t xml:space="preserve"> </w:t>
      </w:r>
      <w:r>
        <w:t xml:space="preserve">0.064; 0.01/0.005 mg/ml ≥ 0.11), and several low-dose pairs have zero</w:t>
      </w:r>
      <w:r>
        <w:t xml:space="preserve"> </w:t>
      </w:r>
      <w:r>
        <w:t xml:space="preserve">differences (n_nonzero as low as 4 of 8), which is itself informative: weak</w:t>
      </w:r>
      <w:r>
        <w:t xml:space="preserve"> </w:t>
      </w:r>
      <w:r>
        <w:t xml:space="preserve">extracts match the control exactly. Heavy tied ranks (the endpoint averages</w:t>
      </w:r>
      <w:r>
        <w:t xml:space="preserve"> </w:t>
      </w:r>
      <w:r>
        <w:t xml:space="preserve">nine binary points) forced the asymptotic approximation in every motility</w:t>
      </w:r>
      <w:r>
        <w:t xml:space="preserve"> </w:t>
      </w:r>
      <w:r>
        <w:t xml:space="preserve">contrast — recorded per row — and conclusions are unchanged under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tt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Exploratory TTI and t120 summaries per dose (medians; censored groups never immobilise).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68"/>
              <w:gridCol w:w="1662"/>
              <w:gridCol w:w="880"/>
              <w:gridCol w:w="1075"/>
              <w:gridCol w:w="1955"/>
              <w:gridCol w:w="9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median_tti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n_never_immobilised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mean_t120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tti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tti_dos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Time to immobilisation by dose (black = median; x = censored)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mot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Motility dose-response on mean proportion motile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8"/>
              <w:gridCol w:w="937"/>
              <w:gridCol w:w="1146"/>
              <w:gridCol w:w="1146"/>
              <w:gridCol w:w="2084"/>
              <w:gridCol w:w="11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spearman_rho_pooled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mot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Post-hoc motility contrasts vs Negative Control (paired Wilcoxon;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44"/>
              <w:gridCol w:w="264"/>
              <w:gridCol w:w="352"/>
              <w:gridCol w:w="616"/>
              <w:gridCol w:w="792"/>
              <w:gridCol w:w="1848"/>
              <w:gridCol w:w="7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-0.83 [-0.94, -0.72]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-0.78 [-0.83, -0.44]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 [-0.78, -0.44]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-0.39 [-0.67, -0.06]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[-0.44, 0.00]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-0.89 [-0.94, -0.83]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-0.79 [-0.89, -0.72]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 [-0.78, -0.50]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-0.44 [-0.50, -0.33]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[-0.22, -0.22]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mot-traj"/>
          <w:p>
            <w:pPr>
              <w:pStyle w:val="Compact"/>
              <w:jc w:val="center"/>
            </w:pPr>
            <w:r>
              <w:drawing>
                <wp:inline>
                  <wp:extent cx="5334000" cy="7385538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otility_trajectories_faceted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3855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Motility trajectories by block</w:t>
            </w:r>
          </w:p>
          <w:bookmarkEnd w:id="35"/>
        </w:tc>
      </w:tr>
    </w:tbl>
    <w:bookmarkEnd w:id="36"/>
    <w:bookmarkStart w:id="72" w:name="objective-iv-in-vivo-infectivity"/>
    <w:p>
      <w:pPr>
        <w:pStyle w:val="Heading2"/>
      </w:pPr>
      <w:r>
        <w:t xml:space="preserve">9 5.4. Objective iv — in-vivo infectivity</w:t>
      </w:r>
    </w:p>
    <w:bookmarkStart w:id="56" w:name="parasitaemia"/>
    <w:p>
      <w:pPr>
        <w:pStyle w:val="Heading3"/>
      </w:pPr>
      <w:r>
        <w:t xml:space="preserve">9.1 Parasitaemia</w:t>
      </w:r>
    </w:p>
    <w:p>
      <w:pPr>
        <w:pStyle w:val="FirstParagraph"/>
      </w:pPr>
      <w:r>
        <w:t xml:space="preserve">Exploration first, because the numbers here are the backbone of the thesis.</w:t>
      </w:r>
      <w:r>
        <w:t xml:space="preserve"> </w:t>
      </w:r>
      <w:r>
        <w:t xml:space="preserve">Peak parasitaemia falls monotonically with dose in both parasites: at</w:t>
      </w:r>
      <w:r>
        <w:t xml:space="preserve"> </w:t>
      </w:r>
      <w:r>
        <w:t xml:space="preserve">100 mg/ml the mean peak is exactly zero across all eight blocks per</w:t>
      </w:r>
      <w:r>
        <w:t xml:space="preserve"> </w:t>
      </w:r>
      <w:r>
        <w:t xml:space="preserve">parasite with zero deaths, while Negative Controls peak at LEV 5 with</w:t>
      </w:r>
      <w:r>
        <w:t xml:space="preserve"> </w:t>
      </w:r>
      <w:r>
        <w:t xml:space="preserve">universal (100%) mortality (</w:t>
      </w:r>
      <w:hyperlink w:anchor="tbl-peak">
        <w:r>
          <w:rPr>
            <w:rStyle w:val="Hyperlink"/>
          </w:rPr>
          <w:t xml:space="preserve">Table 5</w:t>
        </w:r>
      </w:hyperlink>
      <w:r>
        <w:t xml:space="preserve">;</w:t>
      </w:r>
      <w:r>
        <w:t xml:space="preserve"> </w:t>
      </w:r>
      <w:hyperlink w:anchor="fig-peak">
        <w:r>
          <w:rPr>
            <w:rStyle w:val="Hyperlink"/>
          </w:rPr>
          <w:t xml:space="preserve">Figure 5</w:t>
        </w:r>
      </w:hyperlink>
      <w:r>
        <w:t xml:space="preserve">). The gradient is smooth —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mean peaks 0 → 1.88 → 2.78 → 3.13 → 3.19 → 5.0 from 100 mg/ml</w:t>
      </w:r>
      <w:r>
        <w:t xml:space="preserve"> </w:t>
      </w:r>
      <w:r>
        <w:t xml:space="preserve">to control;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0 → 0 → 0.63 → 1.93 → 2.08 → 5.0 — with mortality</w:t>
      </w:r>
      <w:r>
        <w:t xml:space="preserve"> </w:t>
      </w:r>
      <w:r>
        <w:t xml:space="preserve">tracking it (0% at top doses rising to 62–100% at low doses and control)</w:t>
      </w:r>
      <w:r>
        <w:t xml:space="preserve"> </w:t>
      </w:r>
      <w:r>
        <w:t xml:space="preserve">and median clearance days shortening as dose rises. Day-40 zeros accumulate</w:t>
      </w:r>
      <w:r>
        <w:t xml:space="preserve"> </w:t>
      </w:r>
      <w:r>
        <w:t xml:space="preserve">with dose (100% at top doses, 0% in controls), which together with the</w:t>
      </w:r>
      <w:r>
        <w:t xml:space="preserve"> </w:t>
      </w:r>
      <w:r>
        <w:t xml:space="preserve">zero-positive day-40 overall is why day-40 cannot carry inference.</w:t>
      </w:r>
      <w:r>
        <w:t xml:space="preserve"> </w:t>
      </w:r>
      <w:r>
        <w:t xml:space="preserve">Trajectories (</w:t>
      </w:r>
      <w:hyperlink w:anchor="fig-para-traj">
        <w:r>
          <w:rPr>
            <w:rStyle w:val="Hyperlink"/>
          </w:rPr>
          <w:t xml:space="preserve">Figure 8</w:t>
        </w:r>
      </w:hyperlink>
      <w:r>
        <w:t xml:space="preserve">) rise from day 1, peak near days 9–14 and</w:t>
      </w:r>
      <w:r>
        <w:t xml:space="preserve"> </w:t>
      </w:r>
      <w:r>
        <w:t xml:space="preserve">resolve in survivors, with deaths (44 of 112 groups) accompanying the</w:t>
      </w:r>
      <w:r>
        <w:t xml:space="preserve"> </w:t>
      </w:r>
      <w:r>
        <w:t xml:space="preserve">decline. Inference on cumulative burden (AUC) mirrors the peaks (</w:t>
      </w:r>
      <w:hyperlink w:anchor="fig-auc">
        <w:r>
          <w:rPr>
            <w:rStyle w:val="Hyperlink"/>
          </w:rPr>
          <w:t xml:space="preserve">Figure 7</w:t>
        </w:r>
      </w:hyperlink>
      <w:r>
        <w:t xml:space="preserve">):</w:t>
      </w:r>
      <w:r>
        <w:t xml:space="preserve"> </w:t>
      </w:r>
      <w:r>
        <w:t xml:space="preserve">monotonic in log-concentration, significant for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(</w:t>
      </w:r>
      <w:hyperlink w:anchor="tbl-dose">
        <w:r>
          <w:rPr>
            <w:rStyle w:val="Hyperlink"/>
          </w:rPr>
          <w:t xml:space="preserve">Table 6</w:t>
        </w:r>
      </w:hyperlink>
      <w:r>
        <w:t xml:space="preserve">:</w:t>
      </w:r>
      <w:r>
        <w:t xml:space="preserve"> </w:t>
      </w:r>
      <w:r>
        <w:t xml:space="preserve">Friedman Q = 14.51, p = 0.006, pooled ρ = −0.51, mean per-block ρ = −0.86)</w:t>
      </w:r>
      <w:r>
        <w:t xml:space="preserve"> </w:t>
      </w:r>
      <w:r>
        <w:t xml:space="preserve">and suggestive for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(Q = 8.52, p = 0.074, ρ = −0.42, mean</w:t>
      </w:r>
      <w:r>
        <w:t xml:space="preserve"> </w:t>
      </w:r>
      <w:r>
        <w:t xml:space="preserve">per-block −0.46). Post-hocs (</w:t>
      </w:r>
      <w:hyperlink w:anchor="tbl-para-posthoc">
        <w:r>
          <w:rPr>
            <w:rStyle w:val="Hyperlink"/>
          </w:rPr>
          <w:t xml:space="preserve">Table 7</w:t>
        </w:r>
      </w:hyperlink>
      <w:r>
        <w:t xml:space="preserve">) confirm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100, 10</w:t>
      </w:r>
      <w:r>
        <w:t xml:space="preserve"> </w:t>
      </w:r>
      <w:r>
        <w:t xml:space="preserve">and 0.5 mg/ml, each beating the control in all eight blocks (W = 0, exact</w:t>
      </w:r>
      <w:r>
        <w:t xml:space="preserve"> </w:t>
      </w:r>
      <w:r>
        <w:t xml:space="preserve">p = 0.008, Holm 0.039; HL ≈ −50/−50/−44 AUC-days with lower limits near −75),</w:t>
      </w:r>
      <w:r>
        <w:t xml:space="preserve"> </w:t>
      </w:r>
      <w:r>
        <w:t xml:space="preserve">while 0.01 and 0.005 mg/ml do not survive correction (Holm 0.078 each, with</w:t>
      </w:r>
      <w:r>
        <w:t xml:space="preserve"> </w:t>
      </w:r>
      <w:r>
        <w:t xml:space="preserve">HL point estimates still strongly negative at −32/−34). For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only 100 mg/ml is suggestive (asymptotic p = 0.014 — ties present — Holm</w:t>
      </w:r>
      <w:r>
        <w:t xml:space="preserve"> </w:t>
      </w:r>
      <w:r>
        <w:t xml:space="preserve">0.071, HL −29.9 [−41.0, −20.9], r = −1); every lower dose is far from</w:t>
      </w:r>
      <w:r>
        <w:t xml:space="preserve"> </w:t>
      </w:r>
      <w:r>
        <w:t xml:space="preserve">significance (Holm 0.32–0.73) despite negative point estimates. No</w:t>
      </w:r>
      <w:r>
        <w:t xml:space="preserve"> </w:t>
      </w:r>
      <w:r>
        <w:t xml:space="preserve">parasite-level AUC difference exists (paired W = 24, exact p = 0.46,</w:t>
      </w:r>
      <w:r>
        <w:t xml:space="preserve"> </w:t>
      </w:r>
      <w:r>
        <w:t xml:space="preserve">HL 6.0 [−10.7, 21.1], r = 0.25;</w:t>
      </w:r>
      <w:r>
        <w:t xml:space="preserve"> </w:t>
      </w:r>
      <w:hyperlink w:anchor="tbl-other">
        <w:r>
          <w:rPr>
            <w:rStyle w:val="Hyperlink"/>
          </w:rPr>
          <w:t xml:space="preserve">Table 9</w:t>
        </w:r>
      </w:hyperlink>
      <w:r>
        <w:t xml:space="preserve">) — the parasites differ in</w:t>
      </w:r>
      <w:r>
        <w:t xml:space="preserve"> </w:t>
      </w:r>
      <w:r>
        <w:rPr>
          <w:i/>
          <w:iCs/>
        </w:rPr>
        <w:t xml:space="preserve">dose sensitivity</w:t>
      </w:r>
      <w:r>
        <w:t xml:space="preserve">, not in overall burden.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pea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Exploratory peak, clearance and mortality per dose (means/medians over 8 blocks).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18"/>
              <w:gridCol w:w="1479"/>
              <w:gridCol w:w="783"/>
              <w:gridCol w:w="870"/>
              <w:gridCol w:w="1479"/>
              <w:gridCol w:w="783"/>
              <w:gridCol w:w="13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mean_peak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median_clear_day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pct_died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pct_day40_zero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eak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peak_dos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Peak LEV by dose (black = mean)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mort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mortality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Groups with any death, by dose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Parasitaemia dose-response on AUC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6"/>
              <w:gridCol w:w="672"/>
              <w:gridCol w:w="821"/>
              <w:gridCol w:w="896"/>
              <w:gridCol w:w="821"/>
              <w:gridCol w:w="1494"/>
              <w:gridCol w:w="821"/>
              <w:gridCol w:w="1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spearman_rho_pooled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mean_rho_perblock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-0.861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para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Post-hoc parasitaemia contrasts vs Negative Control on AUC (paired Wilcoxon;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44"/>
              <w:gridCol w:w="264"/>
              <w:gridCol w:w="264"/>
              <w:gridCol w:w="616"/>
              <w:gridCol w:w="792"/>
              <w:gridCol w:w="2112"/>
              <w:gridCol w:w="5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-29.89 [-40.97, -20.92]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-13.25 [-29.10, 2.54]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-11.93 [-24.14, 10.97]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-7.39 [-24.14, 12.96]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-6.59 [-19.57, 10.76]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-50.30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-50.30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-44.13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-31.72 [-65.63, 2.18]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-34.24 [-68.51, -9.40]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uc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auc_dose_respons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Mean AUC vs log10(concentration)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para-traj"/>
          <w:p>
            <w:pPr>
              <w:pStyle w:val="Compact"/>
              <w:jc w:val="center"/>
            </w:pPr>
            <w:r>
              <w:drawing>
                <wp:inline>
                  <wp:extent cx="5334000" cy="7385538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arasitemia_trajectories_faceted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3855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Parasitaemia trajectories by block</w:t>
            </w:r>
          </w:p>
          <w:bookmarkEnd w:id="55"/>
        </w:tc>
      </w:tr>
    </w:tbl>
    <w:bookmarkEnd w:id="56"/>
    <w:bookmarkStart w:id="71" w:name="body-weight-and-pcv"/>
    <w:p>
      <w:pPr>
        <w:pStyle w:val="Heading3"/>
      </w:pPr>
      <w:r>
        <w:t xml:space="preserve">9.2 Body weight and PCV</w:t>
      </w:r>
    </w:p>
    <w:p>
      <w:pPr>
        <w:pStyle w:val="FirstParagraph"/>
      </w:pPr>
      <w:r>
        <w:t xml:space="preserve">Exploration: mean weight and PCV paths across Pre, Infection and Post run</w:t>
      </w:r>
      <w:r>
        <w:t xml:space="preserve"> </w:t>
      </w:r>
      <w:r>
        <w:t xml:space="preserve">roughly flat for both plants and parasites (</w:t>
      </w:r>
      <w:hyperlink w:anchor="fig-wp-traj">
        <w:r>
          <w:rPr>
            <w:rStyle w:val="Hyperlink"/>
          </w:rPr>
          <w:t xml:space="preserve">Figure 9</w:t>
        </w:r>
      </w:hyperlink>
      <w:r>
        <w:t xml:space="preserve">) — there is no</w:t>
      </w:r>
      <w:r>
        <w:t xml:space="preserve"> </w:t>
      </w:r>
      <w:r>
        <w:t xml:space="preserve">visible separation of trajectories by treatment — and deltas centre near</w:t>
      </w:r>
      <w:r>
        <w:t xml:space="preserve"> </w:t>
      </w:r>
      <w:r>
        <w:t xml:space="preserve">zero with wide scatter (</w:t>
      </w:r>
      <w:hyperlink w:anchor="fig-wt">
        <w:r>
          <w:rPr>
            <w:rStyle w:val="Hyperlink"/>
          </w:rPr>
          <w:t xml:space="preserve">Figure 10</w:t>
        </w:r>
      </w:hyperlink>
      <w:r>
        <w:t xml:space="preserve">,</w:t>
      </w:r>
      <w:r>
        <w:t xml:space="preserve"> </w:t>
      </w:r>
      <w:hyperlink w:anchor="fig-pcv">
        <w:r>
          <w:rPr>
            <w:rStyle w:val="Hyperlink"/>
          </w:rPr>
          <w:t xml:space="preserve">Figure 11</w:t>
        </w:r>
      </w:hyperlink>
      <w:r>
        <w:t xml:space="preserve">). The flags tell the real story</w:t>
      </w:r>
      <w:r>
        <w:t xml:space="preserve"> </w:t>
      </w:r>
      <w:r>
        <w:t xml:space="preserve">(</w:t>
      </w:r>
      <w:hyperlink w:anchor="tbl-flags">
        <w:r>
          <w:rPr>
            <w:rStyle w:val="Hyperlink"/>
          </w:rPr>
          <w:t xml:space="preserve">Table 8</w:t>
        </w:r>
      </w:hyperlink>
      <w:r>
        <w:t xml:space="preserve">): missingness (death) concentrates in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(7 + 3</w:t>
      </w:r>
      <w:r>
        <w:t xml:space="preserve"> </w:t>
      </w:r>
      <w:r>
        <w:t xml:space="preserve">weight groups, 7 + 3 PCV groups across the two plants, vs 1 each for</w:t>
      </w:r>
      <w:r>
        <w:t xml:space="preserve"> </w:t>
      </w:r>
      <w:r>
        <w:rPr>
          <w:i/>
          <w:iCs/>
        </w:rPr>
        <w:t xml:space="preserve">A.</w:t>
      </w:r>
      <w:r>
        <w:rPr>
          <w:i/>
          <w:iCs/>
        </w:rPr>
        <w:t xml:space="preserve"> </w:t>
      </w:r>
      <w:r>
        <w:rPr>
          <w:i/>
          <w:iCs/>
        </w:rPr>
        <w:t xml:space="preserve">indica</w:t>
      </w:r>
      <w:r>
        <w:t xml:space="preserve">/</w:t>
      </w:r>
      <w:r>
        <w:rPr>
          <w:i/>
          <w:iCs/>
        </w:rPr>
        <w:t xml:space="preserve">evansi</w:t>
      </w:r>
      <w:r>
        <w:t xml:space="preserve"> </w:t>
      </w:r>
      <w:r>
        <w:t xml:space="preserve">and none for</w:t>
      </w:r>
      <w:r>
        <w:t xml:space="preserve"> </w:t>
      </w:r>
      <w:r>
        <w:rPr>
          <w:i/>
          <w:iCs/>
        </w:rPr>
        <w:t xml:space="preserve">M. oleifera</w:t>
      </w:r>
      <w:r>
        <w:t xml:space="preserve">/</w:t>
      </w:r>
      <w:r>
        <w:rPr>
          <w:i/>
          <w:iCs/>
        </w:rPr>
        <w:t xml:space="preserve">evansi</w:t>
      </w:r>
      <w:r>
        <w:t xml:space="preserve"> </w:t>
      </w:r>
      <w:r>
        <w:t xml:space="preserve">weight); severe weight</w:t>
      </w:r>
      <w:r>
        <w:t xml:space="preserve"> </w:t>
      </w:r>
      <w:r>
        <w:t xml:space="preserve">loss (≥ 20%) hits 4 + 2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groups plus one</w:t>
      </w:r>
      <w:r>
        <w:t xml:space="preserve"> </w:t>
      </w:r>
      <w:r>
        <w:rPr>
          <w:i/>
          <w:iCs/>
        </w:rPr>
        <w:t xml:space="preserve">A. indica</w:t>
      </w:r>
      <w:r>
        <w:t xml:space="preserve">/</w:t>
      </w:r>
      <w:r>
        <w:rPr>
          <w:i/>
          <w:iCs/>
        </w:rPr>
        <w:t xml:space="preserve">evansi</w:t>
      </w:r>
      <w:r>
        <w:t xml:space="preserve"> </w:t>
      </w:r>
      <w:r>
        <w:t xml:space="preserve">group, with toxicity-signal (≥ 10%) flags in 4 + 4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and 2</w:t>
      </w:r>
      <w:r>
        <w:t xml:space="preserve"> </w:t>
      </w:r>
      <w:r>
        <w:rPr>
          <w:i/>
          <w:iCs/>
        </w:rPr>
        <w:t xml:space="preserve">A.</w:t>
      </w:r>
      <w:r>
        <w:rPr>
          <w:i/>
          <w:iCs/>
        </w:rPr>
        <w:t xml:space="preserve"> </w:t>
      </w:r>
      <w:r>
        <w:rPr>
          <w:i/>
          <w:iCs/>
        </w:rPr>
        <w:t xml:space="preserve">indica</w:t>
      </w:r>
      <w:r>
        <w:t xml:space="preserve">/</w:t>
      </w:r>
      <w:r>
        <w:rPr>
          <w:i/>
          <w:iCs/>
        </w:rPr>
        <w:t xml:space="preserve">evansi</w:t>
      </w:r>
      <w:r>
        <w:t xml:space="preserve"> </w:t>
      </w:r>
      <w:r>
        <w:t xml:space="preserve">groups; anaemia flags likewise cluster in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(5 + 4 groups) with only 2 in</w:t>
      </w:r>
      <w:r>
        <w:t xml:space="preserve"> </w:t>
      </w:r>
      <w:r>
        <w:rPr>
          <w:i/>
          <w:iCs/>
        </w:rPr>
        <w:t xml:space="preserve">M. oleifera</w:t>
      </w:r>
      <w:r>
        <w:t xml:space="preserve">/</w:t>
      </w:r>
      <w:r>
        <w:rPr>
          <w:i/>
          <w:iCs/>
        </w:rPr>
        <w:t xml:space="preserve">evansi</w:t>
      </w:r>
      <w:r>
        <w:t xml:space="preserve"> </w:t>
      </w:r>
      <w:r>
        <w:t xml:space="preserve">and 2 severe-anaemia</w:t>
      </w:r>
      <w:r>
        <w:t xml:space="preserve"> </w:t>
      </w:r>
      <w:r>
        <w:t xml:space="preserve">flags in</w:t>
      </w:r>
      <w:r>
        <w:t xml:space="preserve"> </w:t>
      </w:r>
      <w:r>
        <w:rPr>
          <w:i/>
          <w:iCs/>
        </w:rPr>
        <w:t xml:space="preserve">A. indica</w:t>
      </w:r>
      <w:r>
        <w:t xml:space="preserve">/</w:t>
      </w:r>
      <w:r>
        <w:rPr>
          <w:i/>
          <w:iCs/>
        </w:rPr>
        <w:t xml:space="preserve">evansi</w:t>
      </w:r>
      <w:r>
        <w:t xml:space="preserve">. Inference finds no plant or parasite signals</w:t>
      </w:r>
      <w:r>
        <w:t xml:space="preserve"> </w:t>
      </w:r>
      <w:r>
        <w:t xml:space="preserve">in the deltas (</w:t>
      </w:r>
      <w:hyperlink w:anchor="tbl-other">
        <w:r>
          <w:rPr>
            <w:rStyle w:val="Hyperlink"/>
          </w:rPr>
          <w:t xml:space="preserve">Table 9</w:t>
        </w:r>
      </w:hyperlink>
      <w:r>
        <w:t xml:space="preserve">: weight plant W = 10, exact p = 0.31, HL −0.81</w:t>
      </w:r>
      <w:r>
        <w:t xml:space="preserve"> </w:t>
      </w:r>
      <w:r>
        <w:t xml:space="preserve">[−2.29, 0.44], r = 0; weight parasite W = 7, p = 0.15, HL −1.34</w:t>
      </w:r>
      <w:r>
        <w:t xml:space="preserve"> </w:t>
      </w:r>
      <w:r>
        <w:t xml:space="preserve">[−3.90, 0.29], r = −0.50; PCV plant W = 21, p = 0.74, HL 0.48</w:t>
      </w:r>
      <w:r>
        <w:t xml:space="preserve"> </w:t>
      </w:r>
      <w:r>
        <w:t xml:space="preserve">[−3.70, 4.38], r = 0.25; PCV parasite W = 19, p = 0.95, HL 0.40</w:t>
      </w:r>
      <w:r>
        <w:t xml:space="preserve"> </w:t>
      </w:r>
      <w:r>
        <w:t xml:space="preserve">[−3.62, 3.48], r = 0). Read together — flat trajectories, null delta tests,</w:t>
      </w:r>
      <w:r>
        <w:t xml:space="preserve"> </w:t>
      </w:r>
      <w:r>
        <w:t xml:space="preserve">but flags concentrated in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— efficacy in this study is</w:t>
      </w:r>
      <w:r>
        <w:t xml:space="preserve"> </w:t>
      </w:r>
      <w:r>
        <w:t xml:space="preserve">parasitological rather than confounded by differential toxicity, while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remains the more pathogenic organism regardless of extract.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fl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Exploratory toxicity/anaemia flag counts (descriptive).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320"/>
              <w:gridCol w:w="1540"/>
              <w:gridCol w:w="31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n_groups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wp-traj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weight_pcv_traj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Mean weight and PCV across timepoints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oth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Parasite, weight and PCV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40"/>
              <w:gridCol w:w="240"/>
              <w:gridCol w:w="240"/>
              <w:gridCol w:w="560"/>
              <w:gridCol w:w="168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 vs T. evansi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5.95 [-10.69, 21.10]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304"/>
              <w:gridCol w:w="304"/>
              <w:gridCol w:w="710"/>
              <w:gridCol w:w="2030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-0.81 [-2.29, 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-1.34 [-3.90, 0.29]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10"/>
              <w:gridCol w:w="321"/>
              <w:gridCol w:w="321"/>
              <w:gridCol w:w="749"/>
              <w:gridCol w:w="2033"/>
              <w:gridCol w:w="12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[-3.70, 4.38]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[-3.62, 3.48]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</w:tbl>
          <w:bookmarkEnd w:id="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wt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weight_delta_boxplo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Body-weight change Post−Pre (g)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cv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cv_delta_boxplo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PCV change Post−Pre (pp)</w:t>
            </w:r>
          </w:p>
          <w:bookmarkEnd w:id="70"/>
        </w:tc>
      </w:tr>
    </w:tbl>
    <w:bookmarkEnd w:id="71"/>
    <w:bookmarkEnd w:id="72"/>
    <w:bookmarkStart w:id="82" w:name="objective-v-comparative-superiority"/>
    <w:p>
      <w:pPr>
        <w:pStyle w:val="Heading2"/>
      </w:pPr>
      <w:r>
        <w:t xml:space="preserve">10 5.5. Objective v — comparative superiority</w:t>
      </w:r>
    </w:p>
    <w:p>
      <w:pPr>
        <w:pStyle w:val="FirstParagraph"/>
      </w:pPr>
      <w:r>
        <w:t xml:space="preserve">Exploration first: per-pair AUC differences (</w:t>
      </w:r>
      <w:hyperlink w:anchor="fig-forest">
        <w:r>
          <w:rPr>
            <w:rStyle w:val="Hyperlink"/>
          </w:rPr>
          <w:t xml:space="preserve">Figure 12</w:t>
        </w:r>
      </w:hyperlink>
      <w:r>
        <w:t xml:space="preserve">) scatter on both</w:t>
      </w:r>
      <w:r>
        <w:t xml:space="preserve"> </w:t>
      </w:r>
      <w:r>
        <w:t xml:space="preserve">sides of zero in both parasites — leaves/</w:t>
      </w:r>
      <w:r>
        <w:rPr>
          <w:i/>
          <w:iCs/>
        </w:rPr>
        <w:t xml:space="preserve">congolense</w:t>
      </w:r>
      <w:r>
        <w:t xml:space="preserve"> </w:t>
      </w:r>
      <w:r>
        <w:t xml:space="preserve">−21.5 and</w:t>
      </w:r>
      <w:r>
        <w:t xml:space="preserve"> </w:t>
      </w:r>
      <w:r>
        <w:t xml:space="preserve">seeds/</w:t>
      </w:r>
      <w:r>
        <w:rPr>
          <w:i/>
          <w:iCs/>
        </w:rPr>
        <w:t xml:space="preserve">evansi</w:t>
      </w:r>
      <w:r>
        <w:t xml:space="preserve"> </w:t>
      </w:r>
      <w:r>
        <w:t xml:space="preserve">−19.6 favour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(negative = lower burden under</w:t>
      </w:r>
      <w:r>
        <w:t xml:space="preserve"> </w:t>
      </w:r>
      <w:r>
        <w:rPr>
          <w:i/>
          <w:iCs/>
        </w:rPr>
        <w:t xml:space="preserve">M. oleifera</w:t>
      </w:r>
      <w:r>
        <w:t xml:space="preserve">), while stem bark/</w:t>
      </w:r>
      <w:r>
        <w:rPr>
          <w:i/>
          <w:iCs/>
        </w:rPr>
        <w:t xml:space="preserve">evansi</w:t>
      </w:r>
      <w:r>
        <w:t xml:space="preserve"> </w:t>
      </w:r>
      <w:r>
        <w:t xml:space="preserve">+18.1, roots/</w:t>
      </w:r>
      <w:r>
        <w:rPr>
          <w:i/>
          <w:iCs/>
        </w:rPr>
        <w:t xml:space="preserve">evansi</w:t>
      </w:r>
      <w:r>
        <w:t xml:space="preserve"> </w:t>
      </w:r>
      <w:r>
        <w:t xml:space="preserve">+11.3 and</w:t>
      </w:r>
      <w:r>
        <w:t xml:space="preserve"> </w:t>
      </w:r>
      <w:r>
        <w:t xml:space="preserve">leaves/</w:t>
      </w:r>
      <w:r>
        <w:rPr>
          <w:i/>
          <w:iCs/>
        </w:rPr>
        <w:t xml:space="preserve">evansi</w:t>
      </w:r>
      <w:r>
        <w:t xml:space="preserve"> </w:t>
      </w:r>
      <w:r>
        <w:t xml:space="preserve">+9.9 favour</w:t>
      </w:r>
      <w:r>
        <w:t xml:space="preserve"> </w:t>
      </w:r>
      <w:r>
        <w:rPr>
          <w:i/>
          <w:iCs/>
        </w:rPr>
        <w:t xml:space="preserve">A. indica</w:t>
      </w:r>
      <w:r>
        <w:t xml:space="preserve">; roots/</w:t>
      </w:r>
      <w:r>
        <w:rPr>
          <w:i/>
          <w:iCs/>
        </w:rPr>
        <w:t xml:space="preserve">congolense</w:t>
      </w:r>
      <w:r>
        <w:t xml:space="preserve"> </w:t>
      </w:r>
      <w:r>
        <w:t xml:space="preserve">(+4.0), stem</w:t>
      </w:r>
      <w:r>
        <w:t xml:space="preserve"> </w:t>
      </w:r>
      <w:r>
        <w:t xml:space="preserve">bark/</w:t>
      </w:r>
      <w:r>
        <w:rPr>
          <w:i/>
          <w:iCs/>
        </w:rPr>
        <w:t xml:space="preserve">congolense</w:t>
      </w:r>
      <w:r>
        <w:t xml:space="preserve"> </w:t>
      </w:r>
      <w:r>
        <w:t xml:space="preserve">(−3.6) and seeds/</w:t>
      </w:r>
      <w:r>
        <w:rPr>
          <w:i/>
          <w:iCs/>
        </w:rPr>
        <w:t xml:space="preserve">congolense</w:t>
      </w:r>
      <w:r>
        <w:t xml:space="preserve"> </w:t>
      </w:r>
      <w:r>
        <w:t xml:space="preserve">(exactly 0.0) sit near zero.</w:t>
      </w:r>
      <w:r>
        <w:t xml:space="preserve"> </w:t>
      </w:r>
      <w:r>
        <w:t xml:space="preserve">No pattern by part or parasite emerges, and the scatter (</w:t>
      </w:r>
      <w:hyperlink w:anchor="fig-paired">
        <w:r>
          <w:rPr>
            <w:rStyle w:val="Hyperlink"/>
          </w:rPr>
          <w:t xml:space="preserve">Figure 13</w:t>
        </w:r>
      </w:hyperlink>
      <w:r>
        <w:t xml:space="preserve">)</w:t>
      </w:r>
      <w:r>
        <w:t xml:space="preserve"> </w:t>
      </w:r>
      <w:r>
        <w:t xml:space="preserve">straddles identity. Inference confirms the visual: paired W = 14 on seven</w:t>
      </w:r>
      <w:r>
        <w:t xml:space="preserve"> </w:t>
      </w:r>
      <w:r>
        <w:t xml:space="preserve">non-zero differences (one exact tie dropped), exact p = 1.0, HL ≈ 0.3 with</w:t>
      </w:r>
      <w:r>
        <w:t xml:space="preserve"> </w:t>
      </w:r>
      <w:r>
        <w:t xml:space="preserve">95% CI (−14.7, +20.5), rank-biserial −0.14 (</w:t>
      </w:r>
      <w:hyperlink w:anchor="tbl-sup">
        <w:r>
          <w:rPr>
            <w:rStyle w:val="Hyperlink"/>
          </w:rPr>
          <w:t xml:space="preserve">Table 10</w:t>
        </w:r>
      </w:hyperlink>
      <w:r>
        <w:t xml:space="preserve">); the motility</w:t>
      </w:r>
      <w:r>
        <w:t xml:space="preserve"> </w:t>
      </w:r>
      <w:r>
        <w:t xml:space="preserve">cross-check agrees (W = 29, exact p = 0.15, HL 0.11 [−0.08, 0.24],</w:t>
      </w:r>
      <w:r>
        <w:t xml:space="preserve"> </w:t>
      </w:r>
      <w:r>
        <w:t xml:space="preserve">r = 0.25). With eight pairs the interval spans meaningful effects in both</w:t>
      </w:r>
      <w:r>
        <w:t xml:space="preserve"> </w:t>
      </w:r>
      <w:r>
        <w:t xml:space="preserve">directions, so the data cannot support a superiority claim for either agent</w:t>
      </w:r>
      <w:r>
        <w:t xml:space="preserve"> </w:t>
      </w:r>
      <w:r>
        <w:t xml:space="preserve">— the honest conclusion is the null, stated with its interval rather than</w:t>
      </w:r>
      <w:r>
        <w:t xml:space="preserve"> </w:t>
      </w:r>
      <w:r>
        <w:t xml:space="preserve">as a bare p-value, and it is LOO-stable (sensitivity p-range 0.53–1.0, §6).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su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Plant superiority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343"/>
              <w:gridCol w:w="255"/>
              <w:gridCol w:w="255"/>
              <w:gridCol w:w="255"/>
              <w:gridCol w:w="1788"/>
              <w:gridCol w:w="10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 [-14.73, 20.54]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-0.1429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72"/>
              <w:gridCol w:w="255"/>
              <w:gridCol w:w="255"/>
              <w:gridCol w:w="596"/>
              <w:gridCol w:w="1618"/>
              <w:gridCol w:w="10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(mean %motile,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[-0.08, 0.24]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</w:tbl>
          <w:bookmarkEnd w:id="7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orest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fores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Paired AUC difference per block with overall HL estimate</w:t>
            </w:r>
          </w:p>
          <w:bookmarkEnd w:id="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ired"/>
          <w:p>
            <w:pPr>
              <w:pStyle w:val="Compact"/>
              <w:jc w:val="center"/>
            </w:pPr>
            <w:r>
              <w:drawing>
                <wp:inline>
                  <wp:extent cx="5334000" cy="4513384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paired_auc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133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Paired block-mean AUC scatter</w:t>
            </w:r>
          </w:p>
          <w:bookmarkEnd w:id="81"/>
        </w:tc>
      </w:tr>
    </w:tbl>
    <w:bookmarkEnd w:id="82"/>
    <w:bookmarkStart w:id="88" w:name="diagnostics-sensitivity-and-refits"/>
    <w:p>
      <w:pPr>
        <w:pStyle w:val="Heading2"/>
      </w:pPr>
      <w:r>
        <w:t xml:space="preserve">11 6. Diagnostics, sensitivity and refits</w:t>
      </w:r>
    </w:p>
    <w:p>
      <w:pPr>
        <w:pStyle w:val="FirstParagraph"/>
      </w:pPr>
      <w:r>
        <w:t xml:space="preserve">Three diagnostics were run. First, rank-test validity: several contrasts</w:t>
      </w:r>
      <w:r>
        <w:t xml:space="preserve"> </w:t>
      </w:r>
      <w:r>
        <w:t xml:space="preserve">contain tied absolute differences (all five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dose contrasts;</w:t>
      </w:r>
      <w:r>
        <w:t xml:space="preserve"> </w:t>
      </w:r>
      <w:r>
        <w:t xml:space="preserve">most motility contrasts, whose endpoint averages nine binary points) or</w:t>
      </w:r>
      <w:r>
        <w:t xml:space="preserve"> </w:t>
      </w:r>
      <w:r>
        <w:t xml:space="preserve">dropped zero differences (superiority: one of eight pairs; several low-dose</w:t>
      </w:r>
      <w:r>
        <w:t xml:space="preserve"> </w:t>
      </w:r>
      <w:r>
        <w:t xml:space="preserve">motility pairs with n_nonzero as low as 4). Because the exact Wilcoxon</w:t>
      </w:r>
      <w:r>
        <w:t xml:space="preserve"> </w:t>
      </w:r>
      <w:r>
        <w:t xml:space="preserve">distribution is invalid with tied ranks, every contrast records</w:t>
      </w:r>
      <w:r>
        <w:t xml:space="preserve"> </w:t>
      </w:r>
      <w:r>
        <w:rPr>
          <w:rStyle w:val="VerbatimChar"/>
        </w:rPr>
        <w:t xml:space="preserve">n_nonzero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n_ties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p_method</w:t>
      </w:r>
      <w:r>
        <w:t xml:space="preserve">, using exact p-values only when clean and the</w:t>
      </w:r>
      <w:r>
        <w:t xml:space="preserve"> </w:t>
      </w:r>
      <w:r>
        <w:t xml:space="preserve">continuity-corrected normal approximation otherwise — this refit left all</w:t>
      </w:r>
      <w:r>
        <w:t xml:space="preserve"> </w:t>
      </w:r>
      <w:r>
        <w:t xml:space="preserve">conclusions unchanged. Second, paired-difference symmetry (</w:t>
      </w:r>
      <w:hyperlink w:anchor="fig-sym">
        <w:r>
          <w:rPr>
            <w:rStyle w:val="Hyperlink"/>
          </w:rPr>
          <w:t xml:space="preserve">Figure 14</w:t>
        </w:r>
      </w:hyperlink>
      <w:r>
        <w:t xml:space="preserve">):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differences sit entirely below zero (a location shift,</w:t>
      </w:r>
      <w:r>
        <w:t xml:space="preserve"> </w:t>
      </w:r>
      <w:r>
        <w:t xml:space="preserve">unproblematic); superiority differences spread symmetrically around zero,</w:t>
      </w:r>
      <w:r>
        <w:t xml:space="preserve"> </w:t>
      </w:r>
      <w:r>
        <w:t xml:space="preserve">matching its null. Third, leave-one-block-out sensitivity (</w:t>
      </w:r>
      <w:hyperlink w:anchor="tbl-loo">
        <w:r>
          <w:rPr>
            <w:rStyle w:val="Hyperlink"/>
          </w:rPr>
          <w:t xml:space="preserve">Table 11</w:t>
        </w:r>
      </w:hyperlink>
      <w:r>
        <w:t xml:space="preserve">): no</w:t>
      </w:r>
      <w:r>
        <w:t xml:space="preserve"> </w:t>
      </w:r>
      <w:r>
        <w:t xml:space="preserve">single block flips any conclusion (evansi top doses LOO p = 0.016</w:t>
      </w:r>
      <w:r>
        <w:t xml:space="preserve"> </w:t>
      </w:r>
      <w:r>
        <w:t xml:space="preserve">throughout; superiority LOO p 0.53–1.0). Completeness is enforced</w:t>
      </w:r>
      <w:r>
        <w:t xml:space="preserve"> </w:t>
      </w:r>
      <w:r>
        <w:t xml:space="preserve">structurally at build (row counts and part levels asserted).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lo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Leave-one-block-out sensitivity (stable = no single block flips the conclusion).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21"/>
              <w:gridCol w:w="676"/>
              <w:gridCol w:w="965"/>
              <w:gridCol w:w="965"/>
              <w:gridCol w:w="1545"/>
              <w:gridCol w:w="869"/>
              <w:gridCol w:w="6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loo_p_min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loo_p_max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loo_significant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0.5mg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congolense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 superiority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ym"/>
          <w:p>
            <w:pPr>
              <w:pStyle w:val="Compact"/>
              <w:jc w:val="center"/>
            </w:pPr>
            <w:r>
              <w:drawing>
                <wp:inline>
                  <wp:extent cx="5334000" cy="328246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iagnostic_paired_diffs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824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Paired differences: symmetry check (red = median)</w:t>
            </w:r>
          </w:p>
          <w:bookmarkEnd w:id="87"/>
        </w:tc>
      </w:tr>
    </w:tbl>
    <w:bookmarkEnd w:id="88"/>
    <w:bookmarkStart w:id="89" w:name="discussion"/>
    <w:p>
      <w:pPr>
        <w:pStyle w:val="Heading2"/>
      </w:pPr>
      <w:r>
        <w:t xml:space="preserve">12 7. Discussion</w:t>
      </w:r>
    </w:p>
    <w:p>
      <w:pPr>
        <w:pStyle w:val="FirstParagraph"/>
      </w:pPr>
      <w:r>
        <w:t xml:space="preserve">The three assay layers tell one coherent story. In-vitro, both plants kill in</w:t>
      </w:r>
      <w:r>
        <w:t xml:space="preserve"> </w:t>
      </w:r>
      <w:r>
        <w:t xml:space="preserve">a strictly ordered, concentration-dependent manner (</w:t>
      </w:r>
      <w:hyperlink w:anchor="fig-tti">
        <w:r>
          <w:rPr>
            <w:rStyle w:val="Hyperlink"/>
          </w:rPr>
          <w:t xml:space="preserve">Figure 3</w:t>
        </w:r>
      </w:hyperlink>
      <w:r>
        <w:t xml:space="preserve">,</w:t>
      </w:r>
      <w:r>
        <w:t xml:space="preserve"> </w:t>
      </w:r>
      <w:hyperlink w:anchor="tbl-mot-dose">
        <w:r>
          <w:rPr>
            <w:rStyle w:val="Hyperlink"/>
          </w:rPr>
          <w:t xml:space="preserve">Table 3</w:t>
        </w:r>
      </w:hyperlink>
      <w:r>
        <w:t xml:space="preserve">);</w:t>
      </w:r>
      <w:r>
        <w:t xml:space="preserve"> </w:t>
      </w:r>
      <w:r>
        <w:t xml:space="preserve">in-vivo, the same ordering reappears in peak parasitaemia (</w:t>
      </w:r>
      <w:hyperlink w:anchor="tbl-peak">
        <w:r>
          <w:rPr>
            <w:rStyle w:val="Hyperlink"/>
          </w:rPr>
          <w:t xml:space="preserve">Table 5</w:t>
        </w:r>
      </w:hyperlink>
      <w:r>
        <w:t xml:space="preserve">),</w:t>
      </w:r>
      <w:r>
        <w:t xml:space="preserve"> </w:t>
      </w:r>
      <w:r>
        <w:t xml:space="preserve">mortality (</w:t>
      </w:r>
      <w:hyperlink w:anchor="fig-mort">
        <w:r>
          <w:rPr>
            <w:rStyle w:val="Hyperlink"/>
          </w:rPr>
          <w:t xml:space="preserve">Figure 6</w:t>
        </w:r>
      </w:hyperlink>
      <w:r>
        <w:t xml:space="preserve">) and cumulative burden (</w:t>
      </w:r>
      <w:hyperlink w:anchor="fig-auc">
        <w:r>
          <w:rPr>
            <w:rStyle w:val="Hyperlink"/>
          </w:rPr>
          <w:t xml:space="preserve">Figure 7</w:t>
        </w:r>
      </w:hyperlink>
      <w:r>
        <w:t xml:space="preserve">), with 100 mg/ml</w:t>
      </w:r>
      <w:r>
        <w:t xml:space="preserve"> </w:t>
      </w:r>
      <w:r>
        <w:t xml:space="preserve">suppressing peaks to zero and eliminating deaths in both parasites. The</w:t>
      </w:r>
      <w:r>
        <w:t xml:space="preserve"> </w:t>
      </w:r>
      <w:r>
        <w:t xml:space="preserve">convergence of motility TTI gradients and AUC gradients is the study’s</w:t>
      </w:r>
      <w:r>
        <w:t xml:space="preserve"> </w:t>
      </w:r>
      <w:r>
        <w:t xml:space="preserve">strongest internal replication: fast kill in the dish predicts low burden in</w:t>
      </w:r>
      <w:r>
        <w:t xml:space="preserve"> </w:t>
      </w:r>
      <w:r>
        <w:t xml:space="preserve">the mouse. Against this consistency stand two nulls. First, the plants are</w:t>
      </w:r>
      <w:r>
        <w:t xml:space="preserve"> </w:t>
      </w:r>
      <w:r>
        <w:t xml:space="preserve">interchangeable: superiority pairs split 4–3 with one exact tie across</w:t>
      </w:r>
      <w:r>
        <w:t xml:space="preserve"> </w:t>
      </w:r>
      <w:r>
        <w:t xml:space="preserve">parasites and parts (</w:t>
      </w:r>
      <w:hyperlink w:anchor="fig-forest">
        <w:r>
          <w:rPr>
            <w:rStyle w:val="Hyperlink"/>
          </w:rPr>
          <w:t xml:space="preserve">Figure 12</w:t>
        </w:r>
      </w:hyperlink>
      <w:r>
        <w:t xml:space="preserve">), chemistry overlaps heavily (universal</w:t>
      </w:r>
      <w:r>
        <w:t xml:space="preserve"> </w:t>
      </w:r>
      <w:r>
        <w:t xml:space="preserve">Saponin/Carbohydrates/Tannins, equal leaf richness of 6/12; §5.2), and</w:t>
      </w:r>
      <w:r>
        <w:t xml:space="preserve"> </w:t>
      </w:r>
      <w:r>
        <w:t xml:space="preserve">neither endpoint separates them — so objective v is answered negatively, and</w:t>
      </w:r>
      <w:r>
        <w:t xml:space="preserve"> </w:t>
      </w:r>
      <w:r>
        <w:t xml:space="preserve">the part-specific differentiating compounds (Steroids, Terpenoids and the</w:t>
      </w:r>
      <w:r>
        <w:t xml:space="preserve"> </w:t>
      </w:r>
      <w:r>
        <w:t xml:space="preserve">like) show no efficacy signature at this resolution. Second, weight and PCV</w:t>
      </w:r>
      <w:r>
        <w:t xml:space="preserve"> </w:t>
      </w:r>
      <w:r>
        <w:t xml:space="preserve">carry no treatment signal at all (</w:t>
      </w:r>
      <w:hyperlink w:anchor="tbl-other">
        <w:r>
          <w:rPr>
            <w:rStyle w:val="Hyperlink"/>
          </w:rPr>
          <w:t xml:space="preserve">Table 9</w:t>
        </w:r>
      </w:hyperlink>
      <w:r>
        <w:t xml:space="preserve">), which exonerates the</w:t>
      </w:r>
      <w:r>
        <w:t xml:space="preserve"> </w:t>
      </w:r>
      <w:r>
        <w:t xml:space="preserve">parasitaemia findings from toxicity confounding while confirming</w:t>
      </w:r>
      <w:r>
        <w:t xml:space="preserve"> </w:t>
      </w:r>
      <w:r>
        <w:rPr>
          <w:i/>
          <w:iCs/>
        </w:rPr>
        <w:t xml:space="preserve">T.</w:t>
      </w:r>
      <w:r>
        <w:rPr>
          <w:i/>
          <w:iCs/>
        </w:rP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as the more pathogenic parasite (all flag categories concentrate</w:t>
      </w:r>
      <w:r>
        <w:t xml:space="preserve"> </w:t>
      </w:r>
      <w:r>
        <w:t xml:space="preserve">there). The main asymmetry is parasite dose sensitivity: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yields</w:t>
      </w:r>
      <w:r>
        <w:t xml:space="preserve"> </w:t>
      </w:r>
      <w:r>
        <w:t xml:space="preserve">to 0.5 mg/ml (Holm 0.039) where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responds only at 100 mg/ml</w:t>
      </w:r>
      <w:r>
        <w:t xml:space="preserve"> </w:t>
      </w:r>
      <w:r>
        <w:t xml:space="preserve">and suggestively (Holm 0.071) — yet overall burdens do not differ</w:t>
      </w:r>
      <w:r>
        <w:t xml:space="preserve"> </w:t>
      </w:r>
      <w:r>
        <w:t xml:space="preserve">(p = 0.46), so this is a threshold difference, not a virulence difference.</w:t>
      </w:r>
      <w:r>
        <w:t xml:space="preserve"> </w:t>
      </w:r>
      <w:r>
        <w:t xml:space="preserve">The caveats from §2 and §6 bound every claim: group-mean data, N = 8 per</w:t>
      </w:r>
      <w:r>
        <w:t xml:space="preserve"> </w:t>
      </w:r>
      <w:r>
        <w:t xml:space="preserve">contrast, unknown controls, and death-censored AUCs read strictly alongside</w:t>
      </w:r>
      <w:r>
        <w:t xml:space="preserve"> </w:t>
      </w:r>
      <w:r>
        <w:t xml:space="preserve">mortality. Within those bounds, the supported thesis statement is narrow and</w:t>
      </w:r>
      <w:r>
        <w:t xml:space="preserve"> </w:t>
      </w:r>
      <w:r>
        <w:t xml:space="preserve">firm: both extracts are active in a dose-dependent manner with 100 mg/ml</w:t>
      </w:r>
      <w:r>
        <w:t xml:space="preserve"> </w:t>
      </w:r>
      <w:r>
        <w:t xml:space="preserve">fully suppressive,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the more sensitive parasite, and neither</w:t>
      </w:r>
      <w:r>
        <w:t xml:space="preserve"> </w:t>
      </w:r>
      <w:r>
        <w:t xml:space="preserve">plant demonstrably superior.</w:t>
      </w:r>
    </w:p>
    <w:bookmarkEnd w:id="89"/>
    <w:bookmarkStart w:id="90" w:name="limitations"/>
    <w:p>
      <w:pPr>
        <w:pStyle w:val="Heading2"/>
      </w:pPr>
      <w:r>
        <w:t xml:space="preserve">13 8. Limitations</w:t>
      </w:r>
    </w:p>
    <w:p>
      <w:pPr>
        <w:pStyle w:val="FirstParagraph"/>
      </w:pPr>
      <w:r>
        <w:t xml:space="preserve">Group means of n = 3 mice erase within-group variance, so inference rests on</w:t>
      </w:r>
      <w:r>
        <w:t xml:space="preserve"> </w:t>
      </w:r>
      <w:r>
        <w:t xml:space="preserve">N = 16 blocks — power is low, intervals wide, description carries the</w:t>
      </w:r>
      <w:r>
        <w:t xml:space="preserve"> </w:t>
      </w:r>
      <w:r>
        <w:t xml:space="preserve">weight. Control identities/doses are unknown; Positive Control is a validity</w:t>
      </w:r>
      <w:r>
        <w:t xml:space="preserve"> </w:t>
      </w:r>
      <w:r>
        <w:t xml:space="preserve">reference only. Death-censored AUC flatters early-death groups, hence AUC is</w:t>
      </w:r>
      <w:r>
        <w:t xml:space="preserve"> </w:t>
      </w:r>
      <w:r>
        <w:t xml:space="preserve">always read with mortality. NA = death is conventional, worth confirming</w:t>
      </w:r>
      <w:r>
        <w:t xml:space="preserve"> </w:t>
      </w:r>
      <w:r>
        <w:t xml:space="preserve">against animal records. All results are exploratory, not confirmatory.</w:t>
      </w:r>
    </w:p>
    <w:bookmarkEnd w:id="90"/>
    <w:bookmarkStart w:id="91" w:name="references-methods"/>
    <w:p>
      <w:pPr>
        <w:pStyle w:val="Heading2"/>
      </w:pPr>
      <w:r>
        <w:t xml:space="preserve">14 9. References (methods)</w:t>
      </w:r>
    </w:p>
    <w:p>
      <w:pPr>
        <w:pStyle w:val="Compact"/>
        <w:numPr>
          <w:ilvl w:val="0"/>
          <w:numId w:val="1001"/>
        </w:numPr>
      </w:pPr>
      <w:r>
        <w:t xml:space="preserve">Conover, W.J. (1999).</w:t>
      </w:r>
      <w:r>
        <w:t xml:space="preserve"> </w:t>
      </w:r>
      <w:r>
        <w:rPr>
          <w:i/>
          <w:iCs/>
        </w:rPr>
        <w:t xml:space="preserve">Practical Nonparametric Statistics</w:t>
      </w:r>
      <w:r>
        <w:t xml:space="preserve"> </w:t>
      </w:r>
      <w:r>
        <w:t xml:space="preserve">(3rd ed.). Wiley.</w:t>
      </w:r>
    </w:p>
    <w:p>
      <w:pPr>
        <w:pStyle w:val="Compact"/>
        <w:numPr>
          <w:ilvl w:val="0"/>
          <w:numId w:val="1001"/>
        </w:numPr>
      </w:pPr>
      <w:r>
        <w:t xml:space="preserve">Mann, H.B. &amp; Whitney, D.R. (1947).</w:t>
      </w:r>
      <w:r>
        <w:t xml:space="preserve"> </w:t>
      </w:r>
      <w:r>
        <w:rPr>
          <w:i/>
          <w:iCs/>
        </w:rPr>
        <w:t xml:space="preserve">Ann. Math. Statist.</w:t>
      </w:r>
      <w:r>
        <w:t xml:space="preserve"> </w:t>
      </w:r>
      <w:r>
        <w:t xml:space="preserve">18(1): 50–60.</w:t>
      </w:r>
    </w:p>
    <w:p>
      <w:pPr>
        <w:pStyle w:val="Compact"/>
        <w:numPr>
          <w:ilvl w:val="0"/>
          <w:numId w:val="1001"/>
        </w:numPr>
      </w:pPr>
      <w:r>
        <w:t xml:space="preserve">Wilcoxon, F. (1945).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1(1): 86–89.</w:t>
      </w:r>
    </w:p>
    <w:p>
      <w:pPr>
        <w:pStyle w:val="Compact"/>
        <w:numPr>
          <w:ilvl w:val="0"/>
          <w:numId w:val="1001"/>
        </w:numPr>
      </w:pPr>
      <w:r>
        <w:t xml:space="preserve">Cliff, N. (1993, 1996); Vargha, A. &amp; Delaney, H.D. (2000).</w:t>
      </w:r>
      <w:r>
        <w:t xml:space="preserve"> </w:t>
      </w:r>
      <w:r>
        <w:rPr>
          <w:i/>
          <w:iCs/>
        </w:rPr>
        <w:t xml:space="preserve">J. Educ. Behav. Stat.</w:t>
      </w:r>
      <w:r>
        <w:t xml:space="preserve"> </w:t>
      </w:r>
      <w:r>
        <w:t xml:space="preserve">25(2): 101–133.</w:t>
      </w:r>
    </w:p>
    <w:p>
      <w:pPr>
        <w:pStyle w:val="Compact"/>
        <w:numPr>
          <w:ilvl w:val="0"/>
          <w:numId w:val="1001"/>
        </w:numPr>
      </w:pPr>
      <w:r>
        <w:t xml:space="preserve">Spearman, C. (1904).</w:t>
      </w:r>
      <w:r>
        <w:t xml:space="preserve"> </w:t>
      </w:r>
      <w:r>
        <w:rPr>
          <w:i/>
          <w:iCs/>
        </w:rPr>
        <w:t xml:space="preserve">Am. J. Psychol.</w:t>
      </w:r>
      <w:r>
        <w:t xml:space="preserve"> </w:t>
      </w:r>
      <w:r>
        <w:t xml:space="preserve">15(1): 72–85.</w:t>
      </w:r>
    </w:p>
    <w:p>
      <w:pPr>
        <w:pStyle w:val="Compact"/>
        <w:numPr>
          <w:ilvl w:val="0"/>
          <w:numId w:val="1001"/>
        </w:numPr>
      </w:pPr>
      <w:r>
        <w:t xml:space="preserve">Jonckheere, A. (1954); Terpstra, J.T. (1952) — ordered alternatives (blocked Friedman reported instead, §4).</w:t>
      </w:r>
    </w:p>
    <w:p>
      <w:pPr>
        <w:pStyle w:val="Compact"/>
        <w:numPr>
          <w:ilvl w:val="0"/>
          <w:numId w:val="1001"/>
        </w:numPr>
      </w:pPr>
      <w:r>
        <w:t xml:space="preserve">Noyes, H. et al. (2009).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4(4): e5170.</w:t>
      </w:r>
    </w:p>
    <w:p>
      <w:pPr>
        <w:pStyle w:val="Compact"/>
        <w:numPr>
          <w:ilvl w:val="0"/>
          <w:numId w:val="1001"/>
        </w:numPr>
      </w:pPr>
      <w:r>
        <w:t xml:space="preserve">Naessens, J. et al. (2005).</w:t>
      </w:r>
      <w:r>
        <w:t xml:space="preserve"> </w:t>
      </w:r>
      <w:r>
        <w:rPr>
          <w:i/>
          <w:iCs/>
        </w:rPr>
        <w:t xml:space="preserve">Clin. Exp. Immunol.</w:t>
      </w:r>
      <w:r>
        <w:t xml:space="preserve"> </w:t>
      </w:r>
      <w:r>
        <w:t xml:space="preserve">139: 449–456.</w:t>
      </w:r>
    </w:p>
    <w:p>
      <w:pPr>
        <w:pStyle w:val="Compact"/>
        <w:numPr>
          <w:ilvl w:val="0"/>
          <w:numId w:val="1001"/>
        </w:numPr>
      </w:pPr>
      <w:r>
        <w:t xml:space="preserve">Gitonga, P.K. et al. (2017).</w:t>
      </w:r>
      <w:r>
        <w:t xml:space="preserve"> </w:t>
      </w:r>
      <w:r>
        <w:rPr>
          <w:i/>
          <w:iCs/>
        </w:rPr>
        <w:t xml:space="preserve">Onderstepoort J. Vet. Res.</w:t>
      </w:r>
      <w:r>
        <w:t xml:space="preserve"> </w:t>
      </w:r>
      <w:r>
        <w:t xml:space="preserve">84(1): a1412.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color="auto" w:space="0" w:sz="0" w:val="nil"/>
        <w:right w:color="auto" w:space="0" w:sz="0" w:val="nil"/>
        <w:insideH w:color="auto" w:space="0" w:sz="0" w:val="nil"/>
        <w:insideV w:color="auto" w:space="0" w:sz="0" w:val="nil"/>
      </w:tblBorders>
    </w:tblPr>
    <w:tblStylePr w:type="firstRow">
      <w:tcPr>
        <w:tcBorders>
          <w:bottom w:val="single"/>
        </w:tcBorders>
        <w:vAlign w:val="bottom"/>
      </w:tcPr>
      <w:rPr>
        <w:b/>
      </w:rPr>
      <w:trPr/>
      <w:pBdr>
        <w:bottom w:color="000000" w:space="1" w:sz="8" w:val="single"/>
      </w:pBd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hAnsi="Times New Roman"/>
      <w:sz w:val="24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84" Target="media/rId84.png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58" Target="media/rId58.png" /><Relationship Type="http://schemas.openxmlformats.org/officeDocument/2006/relationships/image" Id="rId32" Target="media/rId32.png" /><Relationship Type="http://schemas.openxmlformats.org/officeDocument/2006/relationships/image" Id="rId52" Target="media/rId52.png" /><Relationship Type="http://schemas.openxmlformats.org/officeDocument/2006/relationships/image" Id="rId67" Target="media/rId67.png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Anti-Trypanosomal Activity of Azadirachta indica and Moringa oleifera against Trypanosoma congolense and T. evansi — Statistical Report</dc:title>
  <dc:creator/>
  <cp:keywords/>
  <dcterms:created xsi:type="dcterms:W3CDTF">2026-09-11T01:57:23Z</dcterms:created>
  <dcterms:modified xsi:type="dcterms:W3CDTF">2026-09-11T01:57:23Z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of">
    <vt:lpwstr>True</vt:lpwstr>
  </property>
  <property fmtid="{D5CDD505-2E9C-101B-9397-08002B2CF9AE}" pid="10" name="lot">
    <vt:lpwstr>True</vt:lpwstr>
  </property>
  <property fmtid="{D5CDD505-2E9C-101B-9397-08002B2CF9AE}" pid="11" name="toc-title">
    <vt:lpwstr>Table of contents</vt:lpwstr>
  </property>
</Properties>
</file>