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Context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Sheet 2 of the Excel file parsed into 5 tidy CSVs in `analysis/data/`. CSVs contain **group means** (n=3 mice per group was averaged in the source xlsx). Statistical methods use the **block (plant×part×parasite)** as the analytical unit (n=16 independent units). 7 groups per block (5 concentrations + NC + PC) at n=1 each — within-block comparisons are descriptive only.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Available Tools (R 4.5.1)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45"/>
      </w:tblGrid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Tool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dplyr / tidyr</w:t>
            </w:r>
          </w:p>
        </w:tc>
      </w:tr>
      <w:tr>
        <w:trPr>
          <w:trHeight w:val="614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stringr</w:t>
            </w:r>
          </w:p>
        </w:tc>
      </w:tr>
      <w:tr>
        <w:trPr>
          <w:trHeight w:val="571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readr</w:t>
            </w:r>
          </w:p>
        </w:tc>
      </w:tr>
      <w:tr>
        <w:trPr>
          <w:trHeight w:val="615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ggplot2</w:t>
            </w:r>
          </w:p>
        </w:tc>
      </w:tr>
      <w:tr>
        <w:trPr>
          <w:trHeight w:val="57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rstatix</w:t>
            </w:r>
          </w:p>
        </w:tc>
      </w:tr>
      <w:tr>
        <w:trPr>
          <w:trHeight w:val="615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PMCMRplus</w:t>
            </w:r>
          </w:p>
        </w:tc>
      </w:tr>
      <w:tr>
        <w:trPr>
          <w:trHeight w:val="56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stats</w:t>
            </w:r>
          </w:p>
        </w:tc>
      </w:tr>
      <w:tr>
        <w:trPr>
          <w:trHeight w:val="571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broom</w:t>
            </w:r>
          </w:p>
        </w:tc>
      </w:tr>
      <w:tr>
        <w:trPr>
          <w:trHeight w:val="573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flextable</w:t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rmarkdown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Key Data Constraints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**n=3 mice → group means only:** Each CSV row is one group's mean. Within any block, 7 groups at n=1 cannot support inferential statistics. Use 16 blocks as the independent unit.</w:t>
      </w:r>
    </w:p>
    <w:p>
      <w:pPr>
        <w:pStyle w:val="Normal"/>
      </w:pPr>
      <w:r>
        <w:t xml:space="preserve">- **16 blocks (plant×part×parasite):** Effective n=16 for block-level inference, n=8 per plant, n=8 per parasite.</w:t>
      </w:r>
    </w:p>
    <w:p>
      <w:pPr>
        <w:pStyle w:val="Normal"/>
      </w:pPr>
      <w:r>
        <w:t xml:space="preserve">- **LEV 0–5 ordinal:** Non-parametric. No ANOVA on raw LEV.</w:t>
      </w:r>
    </w:p>
    <w:p>
      <w:pPr>
        <w:pStyle w:val="Normal"/>
      </w:pPr>
      <w:r>
        <w:t xml:space="preserve">- **Weight, PCV continuous:** Can use Pearson/Spearman on block-level aggregates.</w:t>
      </w:r>
    </w:p>
    <w:p>
      <w:pPr>
        <w:pStyle w:val="Normal"/>
      </w:pPr>
      <w:r>
        <w:t xml:space="preserve">- **Motility binary (0/1):** Per group × timepoint. % motile used as descriptive.</w:t>
      </w:r>
    </w:p>
    <w:p>
      <w:pPr>
        <w:pStyle w:val="Normal"/>
      </w:pPr>
      <w:r>
        <w:t xml:space="preserve">- **Missing = animal death:** Documented as `animal_dead=TRUE`. Not imputed.</w:t>
      </w:r>
    </w:p>
    <w:p>
      <w:pPr>
        <w:pStyle w:val="Normal"/>
      </w:pPr>
      <w:r>
        <w:t xml:space="preserve">- **All-zero T. evansi blocks:** Real complete protection. Preserved.</w:t>
      </w:r>
    </w:p>
    <w:p>
      <w:pPr>
        <w:pStyle w:val="Normal"/>
      </w:pPr>
      <w:r>
        <w:t xml:space="preserve">- **Significance:** p &lt; 0.05. All p-values adjusted where multiple tests.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Statistical Method Justification Table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38"/>
        <w:gridCol w:w="5732"/>
        <w:gridCol w:w="2991"/>
        <w:gridCol w:w="3083"/>
        <w:gridCol w:w="3418"/>
        <w:gridCol w:w="4703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 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signed-rank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 = ΣR·sign(d_i); d_i = x_i−y_i paired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day40_lev (ordinal 0-5)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Paired (n=16 blocks)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rstatix::wilcox_test()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(1945); Conover (1999)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Mann-Whitney 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 = ΣΣ S(x,y); x∈X, y∈Y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day40_lev (ordinal 0-5)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Unpaired (n=8 per group)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rstatix::wilcox_test()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Mann &amp; Whitney (1947)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Cliff's delta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 = #(x&gt;y)−#(x&lt;y) / (n_x × n_y)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day40_lev (ordinal 0-5)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Two-group comparison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rstatix::cliff.delta()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Cliff (1993, 1996); Vargha &amp; Delaney (2000)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 ρ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ρ = 1 − 6Σd²/(n(n²−1))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log10_conc vs day40_lev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Paired (5 conc × 16 blocks)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stats::cor.test()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Spearman (1904)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Jonckheere-Terpacca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JT = Σ_{i&lt;j} U_{ij}; U_{ij}=#(x_i&gt;x_j) for ordered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concentrations (ordered)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Ordered groups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PMCMRplus::jonckheereTest()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Jonckheere (1955); Terpstra (1952)</w:t>
            </w:r>
          </w:p>
        </w:tc>
      </w:tr>
      <w:tr>
        <w:trPr>
          <w:trHeight w:val="658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Dunn's 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z_{ij} = (R̄_i−R̄_j)/√(σ²(1/n_i+1/n_j))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groups per block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Within-block (n=1)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rstatix::dunn_test()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Dunn (1964)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Variable Definitions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2392"/>
        <w:gridCol w:w="5302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Column in CSV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Level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 (2: A. indica, M. oleifera)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 (4: leaves, stem bark, roots, seeds)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parasite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 (2: T. congolense, T. evansi)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 (7 levels)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concentration_mgml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concentration_mgml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Ordinal/ratio (5 levels: 0.005–100; NA for controls)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 (1–40)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 (0–5)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 (3: Pre-Infection, Infection, Post-Infection)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</w:tr>
      <w:tr>
        <w:trPr>
          <w:trHeight w:val="57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</w:t>
            </w:r>
          </w:p>
        </w:tc>
      </w:tr>
      <w:tr>
        <w:trPr>
          <w:trHeight w:val="61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time_min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Ordinal (9: 0, 15, 30, ..., 120)</w:t>
            </w:r>
          </w:p>
        </w:tc>
      </w:tr>
      <w:tr>
        <w:trPr>
          <w:trHeight w:val="617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Nominal binary (0, 1; NA for `+-`)</w:t>
            </w:r>
          </w:p>
        </w:tc>
      </w:tr>
      <w:tr>
        <w:trPr>
          <w:trHeight w:val="617" w:hRule="auto"/>
        </w:trPr>
        body13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animal_dead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animal_dead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Binary (TRUE, FALSE)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Docx Objectives → Method + Visualisation Mapping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Objective 1: Extract phytochemical contents (docx §1.8.2.i)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Extract methanolic contents from leaves, stem bark, roots, seeds of both plants.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`phytochemical.csv`</w:t>
      </w:r>
    </w:p>
    <w:p>
      <w:pPr>
        <w:pStyle w:val="Normal"/>
      </w:pPr>
      <w:r>
        <w:t xml:space="preserve">- **Analysis:** Descriptive summary of compound presence per plant×part</w:t>
      </w:r>
    </w:p>
    <w:p>
      <w:pPr>
        <w:pStyle w:val="Normal"/>
      </w:pPr>
      <w:r>
        <w:t xml:space="preserve">- **Test:** None (binary screening data)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`phytochemical_summary.csv` — 96-row presence/absence matrix (compound × plant × part)</w:t>
      </w:r>
    </w:p>
    <w:p>
      <w:pPr>
        <w:pStyle w:val="Normal"/>
      </w:pPr>
      <w:r>
        <w:t xml:space="preserve">  - `phytochemical_counts.csv` — total compounds present per plant×part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`phytochemical_heatmap.png` — binary presence/absence heatmap (12 compounds × 8 plant×part combos)</w:t>
      </w:r>
    </w:p>
    <w:p>
      <w:pPr>
        <w:pStyle w:val="Normal"/>
      </w:pPr>
      <w:r>
        <w:t xml:space="preserve">  - `phytochemical_barchart.png` — total compounds present per plant×part, grouped by plant</w:t>
      </w:r>
    </w:p>
    <w:p>
      <w:pPr>
        <w:pStyle w:val="Normal"/>
      </w:pPr>
      <w:r>
        <w:t xml:space="preserve">  - `phytochemical_composition_bar.png` — compound class distribution per plant×part</w:t>
      </w:r>
    </w:p>
    <w:p>
      <w:pPr>
        <w:pStyle w:val="Normal"/>
      </w:pPr>
      <w:r>
        <w:t xml:space="preserve">  - `phytochemical_cooccurrence_network.png` — which compounds co-occur across parts</w:t>
      </w:r>
    </w:p>
    <w:p>
      <w:pPr>
        <w:pStyle w:val="Normal"/>
      </w:pPr>
      <w:r>
        <w:t xml:space="preserve">- **Rationale:** Screening yields binary data; visualisation reveals richest parts.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Objective 2: Identify phytochemical contents (docx §1.8.2.ii)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Identify and characterise phytochemical contents.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`phytochemical.csv`</w:t>
      </w:r>
    </w:p>
    <w:p>
      <w:pPr>
        <w:pStyle w:val="Normal"/>
      </w:pPr>
      <w:r>
        <w:t xml:space="preserve">- **Analysis:** Part profiles per plant; identify signature compounds</w:t>
      </w:r>
    </w:p>
    <w:p>
      <w:pPr>
        <w:pStyle w:val="Normal"/>
      </w:pPr>
      <w:r>
        <w:t xml:space="preserve">- **Test:** None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`phytochemical_part_profiles.csv` — per-part compound list with counts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`phytochemical_composition_pie.png` — compound composition per plant×part (8 pies)</w:t>
      </w:r>
    </w:p>
    <w:p>
      <w:pPr>
        <w:pStyle w:val="Normal"/>
      </w:pPr>
      <w:r>
        <w:t xml:space="preserve">  - `phytochemical_upset.png` — UpSet plot of compound co-occurrence</w:t>
      </w:r>
    </w:p>
    <w:p>
      <w:pPr>
        <w:pStyle w:val="Normal"/>
      </w:pPr>
      <w:r>
        <w:t xml:space="preserve">  - `phytochemical_richness_boxplot.png` — # compounds per part by plant</w:t>
      </w:r>
    </w:p>
    <w:p>
      <w:pPr>
        <w:pStyle w:val="Normal"/>
      </w:pPr>
      <w:r>
        <w:t xml:space="preserve">  - `phytochemical_unique_vs_shared.csv` — compounds unique vs shared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Objective 3: In-vitro anti-trypanosomal activity via motility assay (docx §1.8.2.iii, §3.10)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Determine in-vitro activity of 5 concentrations (100, 10, 0.5, 0.01, 0.005 mg/ml) against T. congolense and T. evansi using motility assay.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`motility.csv`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Descriptive: % motile vs time for each concentration per block</w:t>
      </w:r>
    </w:p>
    <w:p>
      <w:pPr>
        <w:pStyle w:val="Normal"/>
      </w:pPr>
      <w:r>
        <w:t xml:space="preserve">  - **Trend test:** Jonckheere-Terpacca (ordered: 100 → 0.005 mg/ml) per block</w:t>
      </w:r>
    </w:p>
    <w:p>
      <w:pPr>
        <w:pStyle w:val="Normal"/>
      </w:pPr>
      <w:r>
        <w:t xml:space="preserve">  - **Effect size:** Cliff's delta between each concentration and Negative Control</w:t>
      </w:r>
    </w:p>
    <w:p>
      <w:pPr>
        <w:pStyle w:val="Normal"/>
      </w:pPr>
      <w:r>
        <w:t xml:space="preserve">  - **Compare:** 100mg/ml vs 0.005mg/ml across 16 blocks — Wilcoxon signed-rank</w:t>
      </w:r>
    </w:p>
    <w:p>
      <w:pPr>
        <w:pStyle w:val="Normal"/>
      </w:pPr>
      <w:r>
        <w:t xml:space="preserve">- **Method rationale:** JT formula: `JT = Σ_{i&lt;j} U_{ij}` where `U_{ij} = #(x_i &gt; x_j)` for ordered concentrations — tests H0: no trend vs H1: monotonic decreasing motility with increasing concentration. Appropriate because concentrations have natural ordering and motility is binary → % is ordinal.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`motility_stats.csv` — per-block JT p-value, Cliff's delta vs NC, % motile at t=120</w:t>
      </w:r>
    </w:p>
    <w:p>
      <w:pPr>
        <w:pStyle w:val="Normal"/>
      </w:pPr>
      <w:r>
        <w:t xml:space="preserve">  - `motility_summary.csv` — % motile at t=0, t=120 per group×block</w:t>
      </w:r>
    </w:p>
    <w:p>
      <w:pPr>
        <w:pStyle w:val="Normal"/>
      </w:pPr>
      <w:r>
        <w:t xml:space="preserve">  - `motility_concentration_test.csv` — Wilcoxon signed-rank (100mg/ml vs 0.005mg/ml) across 16 blocks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`motility_trajectories_faceted.png` — % motile over 9 timepoints, 16 panels</w:t>
      </w:r>
    </w:p>
    <w:p>
      <w:pPr>
        <w:pStyle w:val="Normal"/>
      </w:pPr>
      <w:r>
        <w:t xml:space="preserve">  - `motility_concentration_response.png` — % motile (averaged t=0–120) vs log10(concentration), loess, faceted</w:t>
      </w:r>
    </w:p>
    <w:p>
      <w:pPr>
        <w:pStyle w:val="Normal"/>
      </w:pPr>
      <w:r>
        <w:t xml:space="preserve">  - `motility_t120_heatmap.png` — % motile at t=120 (rows=7 groups, cols=16 blocks)</w:t>
      </w:r>
    </w:p>
    <w:p>
      <w:pPr>
        <w:pStyle w:val="Normal"/>
      </w:pPr>
      <w:r>
        <w:t xml:space="preserve">  - `motility_jt_trend_beeswarm.png` — JT Z per block, colored by significance</w:t>
      </w:r>
    </w:p>
    <w:p>
      <w:pPr>
        <w:pStyle w:val="Normal"/>
      </w:pPr>
      <w:r>
        <w:t xml:space="preserve">  - `motility_100_vs_0005_scatter.png` — paired % motile at t=120, 16 points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Objective 4: In-vivo infectivity monitoring (docx §1.8.2.iv)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4a: Parasitaemia (LEV)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Day-40 LEV per group per block (summary endpoint)</w:t>
      </w:r>
    </w:p>
    <w:p>
      <w:pPr>
        <w:pStyle w:val="Normal"/>
      </w:pPr>
      <w:r>
        <w:t xml:space="preserve">  - Wilcoxon signed-rank: T. congolense vs T. evansi (paired, 16 plant×part pairs)</w:t>
      </w:r>
    </w:p>
    <w:p>
      <w:pPr>
        <w:pStyle w:val="Normal"/>
      </w:pPr>
      <w:r>
        <w:t xml:space="preserve">  - Mann-Whitney U: A. indica vs M. oleifera (n=8 per plant)</w:t>
      </w:r>
    </w:p>
    <w:p>
      <w:pPr>
        <w:pStyle w:val="Normal"/>
      </w:pPr>
      <w:r>
        <w:t xml:space="preserve">  - Cliff's delta for effect size</w:t>
      </w:r>
    </w:p>
    <w:p>
      <w:pPr>
        <w:pStyle w:val="Normal"/>
      </w:pPr>
      <w:r>
        <w:t xml:space="preserve">  - Spearman: log10(concentration) vs mean day-40 LEV per block</w:t>
      </w:r>
    </w:p>
    <w:p>
      <w:pPr>
        <w:pStyle w:val="Normal"/>
      </w:pPr>
      <w:r>
        <w:t xml:space="preserve">- **Rationale:** LEV is ordinal 0–5; Wilcoxon signed-rank handles paired blocks; MWU for species comparison; Spearman for dose-response. All non-parametric avoids distributional assumptions.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`parasitemia_stats.csv` — day-40 LEV per group×block</w:t>
      </w:r>
    </w:p>
    <w:p>
      <w:pPr>
        <w:pStyle w:val="Normal"/>
      </w:pPr>
      <w:r>
        <w:t xml:space="preserve">  - `parasitemia_species_test.csv` — Wilcoxon signed-rank + Cliff's delta</w:t>
      </w:r>
    </w:p>
    <w:p>
      <w:pPr>
        <w:pStyle w:val="Normal"/>
      </w:pPr>
      <w:r>
        <w:t xml:space="preserve">  - `parasitemia_plant_test.csv` — MWU + Cliff's delta</w:t>
      </w:r>
    </w:p>
    <w:p>
      <w:pPr>
        <w:pStyle w:val="Normal"/>
      </w:pPr>
      <w:r>
        <w:t xml:space="preserve">  - `parasitemia_dose_correlation.csv` — Spearman ρ per block + per parasite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`parasitemia_trajectories_faceted.png` — LEV over 40 days, 16 panels</w:t>
      </w:r>
    </w:p>
    <w:p>
      <w:pPr>
        <w:pStyle w:val="Normal"/>
      </w:pPr>
      <w:r>
        <w:t xml:space="preserve">  - `parasitemia_day40_boxplot.png` — day-40 LEV by group, split by plant×parasite</w:t>
      </w:r>
    </w:p>
    <w:p>
      <w:pPr>
        <w:pStyle w:val="Normal"/>
      </w:pPr>
      <w:r>
        <w:t xml:space="preserve">  - `parasitemia_species_comparison.png` — paired scatter, 16 points</w:t>
      </w:r>
    </w:p>
    <w:p>
      <w:pPr>
        <w:pStyle w:val="Normal"/>
      </w:pPr>
      <w:r>
        <w:t xml:space="preserve">  - `parasitemia_concentration_gradient.png` — mean day-40 LEV vs log10(conc), Spearman</w:t>
      </w:r>
    </w:p>
    <w:p>
      <w:pPr>
        <w:pStyle w:val="Normal"/>
      </w:pPr>
      <w:r>
        <w:t xml:space="preserve">  - `parasitemia_dead_heatmap.png` — mortality pattern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4b: Body weight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`weight.csv`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Δweight = Post-Infection − Pre-Infection per group per block</w:t>
      </w:r>
    </w:p>
    <w:p>
      <w:pPr>
        <w:pStyle w:val="Normal"/>
      </w:pPr>
      <w:r>
        <w:t xml:space="preserve">  - Wilcoxon signed-rank: A. indica vs M. oleifera Δweight</w:t>
      </w:r>
    </w:p>
    <w:p>
      <w:pPr>
        <w:pStyle w:val="Normal"/>
      </w:pPr>
      <w:r>
        <w:t xml:space="preserve">  - Toxicity flag: Δweight &lt; −2g</w:t>
      </w:r>
    </w:p>
    <w:p>
      <w:pPr>
        <w:pStyle w:val="Normal"/>
      </w:pPr>
      <w:r>
        <w:t xml:space="preserve">- **Rationale:** Δweight is ratio-scaled (grams); non-parametric chosen for small n.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`weight_stats.csv` — Δweight per group×block, toxicity flags</w:t>
      </w:r>
    </w:p>
    <w:p>
      <w:pPr>
        <w:pStyle w:val="Normal"/>
      </w:pPr>
      <w:r>
        <w:t xml:space="preserve">  - `weight_species_test.csv` — Wilcoxon results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`weight_trajectory_faceted.png` — weight across 3 timepoints, 16 panels</w:t>
      </w:r>
    </w:p>
    <w:p>
      <w:pPr>
        <w:pStyle w:val="Normal"/>
      </w:pPr>
      <w:r>
        <w:t xml:space="preserve">  - `weight_delta_boxplot.png` — Δweight distribution by plant × parasite</w:t>
      </w:r>
    </w:p>
    <w:p>
      <w:pPr>
        <w:pStyle w:val="Normal"/>
      </w:pPr>
      <w:r>
        <w:t xml:space="preserve">  - `weight_toxicity_scatter.png` — Pre vs Post weight, colored by toxicity</w:t>
      </w:r>
    </w:p>
    <w:p>
      <w:pPr>
        <w:pStyle w:val="Normal"/>
      </w:pPr>
      <w:r>
        <w:t xml:space="preserve">  - `weight_missing_heatmap.png` — mortality (NA) heatmap</w:t>
      </w:r>
    </w:p>
    <w:p>
      <w:pPr>
        <w:pStyle w:val="Normal"/>
      </w:pPr>
      <w:r>
        <w:t xml:space="preserve"/>
      </w:r>
    </w:p>
    <w:p>
      <w:pPr>
        <w:pStyle w:val="Titre3"/>
      </w:pPr>
      <w:r>
        <w:t xml:space="preserve">4c: PCV (packed cell volume)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`pcv.csv`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ΔPCV = Post-Infection − Pre-Infection per group per block</w:t>
      </w:r>
    </w:p>
    <w:p>
      <w:pPr>
        <w:pStyle w:val="Normal"/>
      </w:pPr>
      <w:r>
        <w:t xml:space="preserve">  - Wilcoxon signed-rank: A. indica vs M. oleifera ΔPCV</w:t>
      </w:r>
    </w:p>
    <w:p>
      <w:pPr>
        <w:pStyle w:val="Normal"/>
      </w:pPr>
      <w:r>
        <w:t xml:space="preserve">  - Anemia flag: ΔPCV &lt; −10pp</w:t>
      </w:r>
    </w:p>
    <w:p>
      <w:pPr>
        <w:pStyle w:val="Normal"/>
      </w:pPr>
      <w:r>
        <w:t xml:space="preserve">- **Rationale:** Same as weight.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`pcv_stats.csv` — ΔPCV per group×block, anemia flags</w:t>
      </w:r>
    </w:p>
    <w:p>
      <w:pPr>
        <w:pStyle w:val="Normal"/>
      </w:pPr>
      <w:r>
        <w:t xml:space="preserve">  - `pcv_species_test.csv` — Wilcoxon results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`pcv_trajectory_faceted.png` — PCV across 3 timepoints, 16 panels</w:t>
      </w:r>
    </w:p>
    <w:p>
      <w:pPr>
        <w:pStyle w:val="Normal"/>
      </w:pPr>
      <w:r>
        <w:t xml:space="preserve">  - `pcv_delta_boxplot.png` — ΔPCV distribution by plant × parasite</w:t>
      </w:r>
    </w:p>
    <w:p>
      <w:pPr>
        <w:pStyle w:val="Normal"/>
      </w:pPr>
      <w:r>
        <w:t xml:space="preserve">  - `pcv_weight_correlation.png` — ΔPCV vs Δweight scatter</w:t>
      </w:r>
    </w:p>
    <w:p>
      <w:pPr>
        <w:pStyle w:val="Normal"/>
      </w:pPr>
      <w:r>
        <w:t xml:space="preserve">  - `pcv_anemia_heatmap.png` — anemia flags heatmap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Objective 5: Comparative efficacy A. indica vs M. oleifera (docx §1.8.2.v)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`parasitemia.csv`, `motility.csv`</w:t>
      </w:r>
    </w:p>
    <w:p>
      <w:pPr>
        <w:pStyle w:val="Normal"/>
      </w:pPr>
      <w:r>
        <w:t xml:space="preserve">- **Analysis:**</w:t>
      </w:r>
    </w:p>
    <w:p>
      <w:pPr>
        <w:pStyle w:val="Normal"/>
      </w:pPr>
      <w:r>
        <w:t xml:space="preserve">  - Wilcoxon signed-rank on day-40 LEV (16 paired blocks)</w:t>
      </w:r>
    </w:p>
    <w:p>
      <w:pPr>
        <w:pStyle w:val="Normal"/>
      </w:pPr>
      <w:r>
        <w:t xml:space="preserve">  - Cliff's delta for effect size</w:t>
      </w:r>
    </w:p>
    <w:p>
      <w:pPr>
        <w:pStyle w:val="Normal"/>
      </w:pPr>
      <w:r>
        <w:t xml:space="preserve">  - Motility cross-check: Wilcoxon on mean % motile reduction</w:t>
      </w:r>
    </w:p>
    <w:p>
      <w:pPr>
        <w:pStyle w:val="Normal"/>
      </w:pPr>
      <w:r>
        <w:t xml:space="preserve">- **Rationale:** Paired blocks (same plant×part×parasite, different species); n=16 pairs.</w:t>
      </w:r>
    </w:p>
    <w:p>
      <w:pPr>
        <w:pStyle w:val="Normal"/>
      </w:pPr>
      <w:r>
        <w:t xml:space="preserve">- **Tables:**</w:t>
      </w:r>
    </w:p>
    <w:p>
      <w:pPr>
        <w:pStyle w:val="Normal"/>
      </w:pPr>
      <w:r>
        <w:t xml:space="preserve">  - `species_comparison.csv` — paired values, Wilcoxon W, Cliff's delta</w:t>
      </w:r>
    </w:p>
    <w:p>
      <w:pPr>
        <w:pStyle w:val="Normal"/>
      </w:pPr>
      <w:r>
        <w:t xml:space="preserve">  - `species_motility_test.csv` — motility comparison</w:t>
      </w:r>
    </w:p>
    <w:p>
      <w:pPr>
        <w:pStyle w:val="Normal"/>
      </w:pPr>
      <w:r>
        <w:t xml:space="preserve">- **Figures:**</w:t>
      </w:r>
    </w:p>
    <w:p>
      <w:pPr>
        <w:pStyle w:val="Normal"/>
      </w:pPr>
      <w:r>
        <w:t xml:space="preserve">  - `species_parasitemia_forest.png` — per-block LEV difference</w:t>
      </w:r>
    </w:p>
    <w:p>
      <w:pPr>
        <w:pStyle w:val="Normal"/>
      </w:pPr>
      <w:r>
        <w:t xml:space="preserve">  - `species_motility_forest.png` — per-block motility difference</w:t>
      </w:r>
    </w:p>
    <w:p>
      <w:pPr>
        <w:pStyle w:val="Normal"/>
      </w:pPr>
      <w:r>
        <w:t xml:space="preserve">  - `species_summary_scatter.png` — A. indica vs M. oleifera day-40 LEV</w:t>
      </w:r>
    </w:p>
    <w:p>
      <w:pPr>
        <w:pStyle w:val="Normal"/>
      </w:pPr>
      <w:r>
        <w:t xml:space="preserve">  - `species_interaction_plot.png` — plant × parasite interaction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Exploratory: Part comparison within plant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 Day-40 LEV per part; Wilcoxon signed-rank for paired part comparisons</w:t>
      </w:r>
    </w:p>
    <w:p>
      <w:pPr>
        <w:pStyle w:val="Normal"/>
      </w:pPr>
      <w:r>
        <w:t xml:space="preserve">- **Tables:** `part_comparison.csv`, `part_ranking.csv`</w:t>
      </w:r>
    </w:p>
    <w:p>
      <w:pPr>
        <w:pStyle w:val="Normal"/>
      </w:pPr>
      <w:r>
        <w:t xml:space="preserve">- **Figures:** `part_efficacy_boxplot.png`, `part_ranking_barchart.png`, `part_dose_interaction.png`, `part_toxicity_overlay.png`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Exploratory: Dose-response gradient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**Dataset:** `parasitemia.csv`</w:t>
      </w:r>
    </w:p>
    <w:p>
      <w:pPr>
        <w:pStyle w:val="Normal"/>
      </w:pPr>
      <w:r>
        <w:t xml:space="preserve">- **Analysis:** Spearman ρ between log10(concentration) and day-40 LEV per block; JT trend test</w:t>
      </w:r>
    </w:p>
    <w:p>
      <w:pPr>
        <w:pStyle w:val="Normal"/>
      </w:pPr>
      <w:r>
        <w:t xml:space="preserve">- **Tables:** `dose_response.csv`, `dose_response_summary.csv`, `dose_response_jt_test.csv`</w:t>
      </w:r>
    </w:p>
    <w:p>
      <w:pPr>
        <w:pStyle w:val="Normal"/>
      </w:pPr>
      <w:r>
        <w:t xml:space="preserve">- **Figures:** `dose_response_scatter.png`, `dose_response_curve.png`, `dose_response_heatmap.png`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Exploratory: Phytochemical ↔ efficacy association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**Datasets:** `phytochemical.csv`, `parasitemia.csv`</w:t>
      </w:r>
    </w:p>
    <w:p>
      <w:pPr>
        <w:pStyle w:val="Normal"/>
      </w:pPr>
      <w:r>
        <w:t xml:space="preserve">- **Analysis:** Mann-Whitney U per compound; Cliff's delta</w:t>
      </w:r>
    </w:p>
    <w:p>
      <w:pPr>
        <w:pStyle w:val="Normal"/>
      </w:pPr>
      <w:r>
        <w:t xml:space="preserve">- **Tables:** `phytochemical_association.csv`, `phytochemical_efficacy_ranks.csv`</w:t>
      </w:r>
    </w:p>
    <w:p>
      <w:pPr>
        <w:pStyle w:val="Normal"/>
      </w:pPr>
      <w:r>
        <w:t xml:space="preserve">- **Figures:** `phytochemical_efficacy_scatter.png`, `phytochemical_association_forest.png`, `phytochemical_correlation_heatmap.png`, `phytochemical_dose_moderation.png`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Output Structure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analysis/</w:t>
      </w:r>
    </w:p>
    <w:p>
      <w:pPr>
        <w:pStyle w:val="Normal"/>
      </w:pPr>
      <w:r>
        <w:t xml:space="preserve">├── R/</w:t>
      </w:r>
    </w:p>
    <w:p>
      <w:pPr>
        <w:pStyle w:val="Normal"/>
      </w:pPr>
      <w:r>
        <w:t xml:space="preserve">│   ├── 01_build_datasets.R</w:t>
      </w:r>
    </w:p>
    <w:p>
      <w:pPr>
        <w:pStyle w:val="Normal"/>
      </w:pPr>
      <w:r>
        <w:t xml:space="preserve">│   ├── 02_analysis.R</w:t>
      </w:r>
    </w:p>
    <w:p>
      <w:pPr>
        <w:pStyle w:val="Normal"/>
      </w:pPr>
      <w:r>
        <w:t xml:space="preserve">│   └── render_docx.R</w:t>
      </w:r>
    </w:p>
    <w:p>
      <w:pPr>
        <w:pStyle w:val="Normal"/>
      </w:pPr>
      <w:r>
        <w:t xml:space="preserve">├── data/</w:t>
      </w:r>
    </w:p>
    <w:p>
      <w:pPr>
        <w:pStyle w:val="Normal"/>
      </w:pPr>
      <w:r>
        <w:t xml:space="preserve">└── results/</w:t>
      </w:r>
    </w:p>
    <w:p>
      <w:pPr>
        <w:pStyle w:val="Normal"/>
      </w:pPr>
      <w:r>
        <w:t xml:space="preserve">    ├── tables/ (15 CSV files listed above)</w:t>
      </w:r>
    </w:p>
    <w:p>
      <w:pPr>
        <w:pStyle w:val="Normal"/>
      </w:pPr>
      <w:r>
        <w:t xml:space="preserve">    ├── figures/ (29+ PNG files listed above)</w:t>
      </w:r>
    </w:p>
    <w:p>
      <w:pPr>
        <w:pStyle w:val="Normal"/>
      </w:pPr>
      <w:r>
        <w:t xml:space="preserve">    └── report.docx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Statistical Method Rationale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**Wilcoxon signed-rank** — paired blocks (same plant×part×parasite, different species); 16 pairs; valid for ordinal LEV</w:t>
      </w:r>
    </w:p>
    <w:p>
      <w:pPr>
        <w:pStyle w:val="Normal"/>
      </w:pPr>
      <w:r>
        <w:t xml:space="preserve">2. **Mann-Whitney U** — unpaired groups (8 blocks per plant); compares distributions</w:t>
      </w:r>
    </w:p>
    <w:p>
      <w:pPr>
        <w:pStyle w:val="Normal"/>
      </w:pPr>
      <w:r>
        <w:t xml:space="preserve">3. **Cliff's delta** — effect size for ordinal/binary; δ = #(x&gt;y)−#(x&lt;y)/(n_x×n_y); |δ|≥0.11 small, ≥0.28 med, ≥0.43 large</w:t>
      </w:r>
    </w:p>
    <w:p>
      <w:pPr>
        <w:pStyle w:val="Normal"/>
      </w:pPr>
      <w:r>
        <w:t xml:space="preserve">4. **Spearman ρ** — monotonic association for dose-response; ρ = 1−6Σd²/(n(n²−1))</w:t>
      </w:r>
    </w:p>
    <w:p>
      <w:pPr>
        <w:pStyle w:val="Normal"/>
      </w:pPr>
      <w:r>
        <w:t xml:space="preserve">5. **Jonckheere-Terpacca** — ordered trend across concentrations; JT = Σ_{i&lt;j} U_{ij}</w:t>
      </w:r>
    </w:p>
    <w:p>
      <w:pPr>
        <w:pStyle w:val="Normal"/>
      </w:pPr>
      <w:r>
        <w:t xml:space="preserve">6. **Descriptive only within blocks** — n=1 per group per block; no test has power</w:t>
      </w:r>
    </w:p>
    <w:p>
      <w:pPr>
        <w:pStyle w:val="Normal"/>
      </w:pPr>
      <w:r>
        <w:t xml:space="preserve">7. **p &lt; 0.05** throughout; Holm adjustment on Dunn's post-hoc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References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Cliff, N. (1993, 1996). Ordinal methods for behavioral sciences.</w:t>
      </w:r>
    </w:p>
    <w:p>
      <w:pPr>
        <w:pStyle w:val="Normal"/>
      </w:pPr>
      <w:r>
        <w:t xml:space="preserve">- Vargha, A. &amp; Delaney, H.D. (2000). Critique and improvement of CL common language effect size. *J. Educ. Behav. Stat.* 25(2): 101-133.</w:t>
      </w:r>
    </w:p>
    <w:p>
      <w:pPr>
        <w:pStyle w:val="Normal"/>
      </w:pPr>
      <w:r>
        <w:t xml:space="preserve">- Conover, W.J. (1999). *Practical Nonparametric Statistics* (3rd ed.). Wiley.</w:t>
      </w:r>
    </w:p>
    <w:p>
      <w:pPr>
        <w:pStyle w:val="Normal"/>
      </w:pPr>
      <w:r>
        <w:t xml:space="preserve">- Mann, H.B. &amp; Whitney, D.R. (1947). On a test of whether one of two random variables is stochastically larger. *Ann. Math. Statist.* 18(1): 50-60.</w:t>
      </w:r>
    </w:p>
    <w:p>
      <w:pPr>
        <w:pStyle w:val="Normal"/>
      </w:pPr>
      <w:r>
        <w:t xml:space="preserve">- Wilcoxon, F. (1945). Individual comparisons by ranking methods. *Biometrics* 1(1): 86-89.</w:t>
      </w:r>
    </w:p>
    <w:p>
      <w:pPr>
        <w:pStyle w:val="Normal"/>
      </w:pPr>
      <w:r>
        <w:t xml:space="preserve">- Spearman, C. (1904). The proof and measurement of association between two things. *Am. J. Psychol.* 15(1): 72-85.</w:t>
      </w:r>
    </w:p>
    <w:p>
      <w:pPr>
        <w:pStyle w:val="Normal"/>
      </w:pPr>
      <w:r>
        <w:t xml:space="preserve">- Jonckheere, A. (1955). A class of non-parametric tests for ordered alternatives. *Biometrika* 42: 147-154.</w:t>
      </w:r>
    </w:p>
    <w:p>
      <w:pPr>
        <w:pStyle w:val="Normal"/>
      </w:pPr>
      <w:r>
        <w:t xml:space="preserve">- Terpstra, J.T. (1952). The asymptotic normality of the best non-parametric estimates of a monotone hypothesis. *Proc. Kon. Ned. Akad. Wetensch.* 55: 493-497.</w:t>
      </w:r>
    </w:p>
    <w:p>
      <w:pPr>
        <w:pStyle w:val="Normal"/>
      </w:pPr>
      <w:r>
        <w:t xml:space="preserve">- Dunn, O.J. (1964). Multiple comparisons among means. *J. Amer. Statist. Assoc.* 59(304): 52-64.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2026-09-10T16:53:36Z</dcterms:modified>
  <cp:category/>
</cp:coreProperties>
</file>