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Analysis Plan — Trypanosome Plant-Extract Study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Context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Sheet 2 of the Excel file parsed into 5 tidy CSVs in `analysis/data/`. CSVs contain **group means** (n=3 mice per group was averaged in the source xlsx). Statistical methods use the **block (plant×part×parasite)** as the analytical unit (n=16 independent units). 7 groups per block (5 concentrations + NC + PC) at n=1 each — within-block comparisons are descriptive only.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Available Tools (R 4.5.1)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Key Data Constraints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**n=3 mice → group means only:** Each CSV row is one group's mean. Within any block, 7 groups at n=1 cannot support inferential statistics. Use 16 blocks as the independent unit.</w:t>
      </w:r>
    </w:p>
    <w:p>
      <w:pPr>
        <w:pStyle w:val="Normal"/>
      </w:pPr>
      <w:r>
        <w:t xml:space="preserve">- **16 blocks (plant×part×parasite):** Effective n=16 for block-level inference, n=8 per plant, n=8 per parasite.</w:t>
      </w:r>
    </w:p>
    <w:p>
      <w:pPr>
        <w:pStyle w:val="Normal"/>
      </w:pPr>
      <w:r>
        <w:t xml:space="preserve">- **LEV 0–5 ordinal:** Non-parametric. No ANOVA on raw LEV.</w:t>
      </w:r>
    </w:p>
    <w:p>
      <w:pPr>
        <w:pStyle w:val="Normal"/>
      </w:pPr>
      <w:r>
        <w:t xml:space="preserve">- **Weight, PCV continuous:** Can use Pearson/spearman on block-level aggregates.</w:t>
      </w:r>
    </w:p>
    <w:p>
      <w:pPr>
        <w:pStyle w:val="Normal"/>
      </w:pPr>
      <w:r>
        <w:t xml:space="preserve">- **Motility binary (0/1):** Per group × timepoint. % motile used as descriptive.</w:t>
      </w:r>
    </w:p>
    <w:p>
      <w:pPr>
        <w:pStyle w:val="Normal"/>
      </w:pPr>
      <w:r>
        <w:t xml:space="preserve">- **Missing = animal death:** Documented as `animal_dead=TRUE`. Not imputed.</w:t>
      </w:r>
    </w:p>
    <w:p>
      <w:pPr>
        <w:pStyle w:val="Normal"/>
      </w:pPr>
      <w:r>
        <w:t xml:space="preserve">- **All-zero T. evansi blocks:** Real complete protection. Preserved.</w:t>
      </w:r>
    </w:p>
    <w:p>
      <w:pPr>
        <w:pStyle w:val="Normal"/>
      </w:pPr>
      <w:r>
        <w:t xml:space="preserve">- **Significance:** p &lt; 0.05. All p-values adjusted where multiple tests.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Statistical Method Justification Table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Variable Definitions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Docx Objectives → Method + Visualisation Mapping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Objective 1: Extract phytochemical contents (docx §1.8.2.i)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Extract methanolic contents from leaves, stem bark, roots, seeds of both plants.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**Datasets:** `phytochemical.csv`</w:t>
      </w:r>
    </w:p>
    <w:p>
      <w:pPr>
        <w:pStyle w:val="Normal"/>
      </w:pPr>
      <w:r>
        <w:t xml:space="preserve">- **Analysis:** Descriptive summary of compound presence per plant×part</w:t>
      </w:r>
    </w:p>
    <w:p>
      <w:pPr>
        <w:pStyle w:val="Normal"/>
      </w:pPr>
      <w:r>
        <w:t xml:space="preserve">- **Test:** None (binary screening data)</w:t>
      </w:r>
    </w:p>
    <w:p>
      <w:pPr>
        <w:pStyle w:val="Normal"/>
      </w:pPr>
      <w:r>
        <w:t xml:space="preserve">- **Tables (2 minimum):**</w:t>
      </w:r>
    </w:p>
    <w:p>
      <w:pPr>
        <w:pStyle w:val="Normal"/>
      </w:pPr>
      <w:r>
        <w:t xml:space="preserve">  - `phytochemical_summary.csv` — 96-row presence/absence matrix (compound × plant × part)</w:t>
      </w:r>
    </w:p>
    <w:p>
      <w:pPr>
        <w:pStyle w:val="Normal"/>
      </w:pPr>
      <w:r>
        <w:t xml:space="preserve">  - `phytochemical_counts.csv` — total compounds present per plant×part</w:t>
      </w:r>
    </w:p>
    <w:p>
      <w:pPr>
        <w:pStyle w:val="Normal"/>
      </w:pPr>
      <w:r>
        <w:t xml:space="preserve">- **Figures (2 minimum):**</w:t>
      </w:r>
    </w:p>
    <w:p>
      <w:pPr>
        <w:pStyle w:val="Normal"/>
      </w:pPr>
      <w:r>
        <w:t xml:space="preserve">  - `phytochemical_heatmap.png` — binary presence/absence heatmap (12 compounds × 8 plant×part combos)</w:t>
      </w:r>
    </w:p>
    <w:p>
      <w:pPr>
        <w:pStyle w:val="Normal"/>
      </w:pPr>
      <w:r>
        <w:t xml:space="preserve">  - `phytochemical_barchart.png` — total compounds present per plant×part, grouped by plant</w:t>
      </w:r>
    </w:p>
    <w:p>
      <w:pPr>
        <w:pStyle w:val="Normal"/>
      </w:pPr>
      <w:r>
        <w:t xml:space="preserve">- **Additional:**</w:t>
      </w:r>
    </w:p>
    <w:p>
      <w:pPr>
        <w:pStyle w:val="Normal"/>
      </w:pPr>
      <w:r>
        <w:t xml:space="preserve">  - `phytochemical_composition_bar.png` — compound class distribution per plant×part</w:t>
      </w:r>
    </w:p>
    <w:p>
      <w:pPr>
        <w:pStyle w:val="Normal"/>
      </w:pPr>
      <w:r>
        <w:t xml:space="preserve">  - `phytochemical_cooccurrence_network.png` — which compounds co-occur across parts</w:t>
      </w:r>
    </w:p>
    <w:p>
      <w:pPr>
        <w:pStyle w:val="Normal"/>
      </w:pPr>
      <w:r>
        <w:t xml:space="preserve">- **Rationale:** Screening yields binary data; visualisation reveals richest parts. Feeds Objective 3 (phytochemical↔efficacy).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Objective 2: Identify phytochemical contents (docx §1.8.2.ii)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Identify and characterise phytochemical contents.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**Dataset:** `phytochemical.csv`</w:t>
      </w:r>
    </w:p>
    <w:p>
      <w:pPr>
        <w:pStyle w:val="Normal"/>
      </w:pPr>
      <w:r>
        <w:t xml:space="preserve">- **Analysis:** Part profiles per plant; identify signature compounds</w:t>
      </w:r>
    </w:p>
    <w:p>
      <w:pPr>
        <w:pStyle w:val="Normal"/>
      </w:pPr>
      <w:r>
        <w:t xml:space="preserve">- **Test:** None</w:t>
      </w:r>
    </w:p>
    <w:p>
      <w:pPr>
        <w:pStyle w:val="Normal"/>
      </w:pPr>
      <w:r>
        <w:t xml:space="preserve">- **Tables:**</w:t>
      </w:r>
    </w:p>
    <w:p>
      <w:pPr>
        <w:pStyle w:val="Normal"/>
      </w:pPr>
      <w:r>
        <w:t xml:space="preserve">  - `phytochemical_part_profiles.csv` — per-part compound list with counts</w:t>
      </w:r>
    </w:p>
    <w:p>
      <w:pPr>
        <w:pStyle w:val="Normal"/>
      </w:pPr>
      <w:r>
        <w:t xml:space="preserve">- **Figures:**</w:t>
      </w:r>
    </w:p>
    <w:p>
      <w:pPr>
        <w:pStyle w:val="Normal"/>
      </w:pPr>
      <w:r>
        <w:t xml:space="preserve">  - `phytochemical_composition_pie.png` — compound composition per plant×part (8 pies)</w:t>
      </w:r>
    </w:p>
    <w:p>
      <w:pPr>
        <w:pStyle w:val="Normal"/>
      </w:pPr>
      <w:r>
        <w:t xml:space="preserve">  - `phytochemical_upset.png` — UpSet plot of compound co-occurrence across parts</w:t>
      </w:r>
    </w:p>
    <w:p>
      <w:pPr>
        <w:pStyle w:val="Normal"/>
      </w:pPr>
      <w:r>
        <w:t xml:space="preserve">  - `phytochemical_richness_boxplot.png` — # compounds per part, split by plant</w:t>
      </w:r>
    </w:p>
    <w:p>
      <w:pPr>
        <w:pStyle w:val="Normal"/>
      </w:pPr>
      <w:r>
        <w:t xml:space="preserve">  - `phytochemical_unique_vs_shared.csv` — compounds unique to each plant vs shared</w:t>
      </w:r>
    </w:p>
    <w:p>
      <w:pPr>
        <w:pStyle w:val="Normal"/>
      </w:pPr>
      <w:r>
        <w:t xml:space="preserve">- **Rationale:** Chemical profile differences between plants/parts inform which compounds may drive efficacy.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Objective 3: In-vitro anti-trypanosomal activity via motility assay (docx §1.8.2.iii)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Determine in-vitro activity of 5 concentrations (100, 10, 0.5, 0.01, 0.005 mg/ml) against T. congolense and T. evansi using motility assay.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**Dataset:** `motility.csv`</w:t>
      </w:r>
    </w:p>
    <w:p>
      <w:pPr>
        <w:pStyle w:val="Normal"/>
      </w:pPr>
      <w:r>
        <w:t xml:space="preserve">- **Analysis:**</w:t>
      </w:r>
    </w:p>
    <w:p>
      <w:pPr>
        <w:pStyle w:val="Normal"/>
      </w:pPr>
      <w:r>
        <w:t xml:space="preserve">  - **Descriptive per block:** % motile vs time for each concentration</w:t>
      </w:r>
    </w:p>
    <w:p>
      <w:pPr>
        <w:pStyle w:val="Normal"/>
      </w:pPr>
      <w:r>
        <w:t xml:space="preserve">  - **Trend test:** Jonckheere-Terpacca (ordered alt: 100 &gt; 10 &gt; 0.5 &gt; 0.01 &gt; 0.005) per block — tests monotonic motility inhibition</w:t>
      </w:r>
    </w:p>
    <w:p>
      <w:pPr>
        <w:pStyle w:val="Normal"/>
      </w:pPr>
      <w:r>
        <w:t xml:space="preserve">  - **Effect size:** Cliff's delta between each concentration and Negative Control, per block</w:t>
      </w:r>
    </w:p>
    <w:p>
      <w:pPr>
        <w:pStyle w:val="Normal"/>
      </w:pPr>
      <w:r>
        <w:t xml:space="preserve">  - **Compare:** 100mg/ml vs 0.005mg/ml across 16 blocks — Wilcoxon signed-rank on per-block % motile difference</w:t>
      </w:r>
    </w:p>
    <w:p>
      <w:pPr>
        <w:pStyle w:val="Normal"/>
      </w:pPr>
      <w:r>
        <w:t xml:space="preserve">- **Statistical method:** Jonckheere-Terpacca (see table) — tests H0: no trend vs H1: ordered trend across concentrations; appropriate because concentrations have natural ordering and motility is binary→%</w:t>
      </w:r>
    </w:p>
    <w:p>
      <w:pPr>
        <w:pStyle w:val="Normal"/>
      </w:pPr>
      <w:r>
        <w:t xml:space="preserve">- **Tables:**</w:t>
      </w:r>
    </w:p>
    <w:p>
      <w:pPr>
        <w:pStyle w:val="Normal"/>
      </w:pPr>
      <w:r>
        <w:t xml:space="preserve">  - `motility_stats.csv` — per-block JT p-value, Cliff's delta vs NC, % motile at t=120</w:t>
      </w:r>
    </w:p>
    <w:p>
      <w:pPr>
        <w:pStyle w:val="Normal"/>
      </w:pPr>
      <w:r>
        <w:t xml:space="preserve">  - `motility_summary.csv` — % motile at t=0, t=120 per group×block (864 rows)</w:t>
      </w:r>
    </w:p>
    <w:p>
      <w:pPr>
        <w:pStyle w:val="Normal"/>
      </w:pPr>
      <w:r>
        <w:t xml:space="preserve">  - `motility_concentration_test.csv` — 100mg/ml vs 0.005mg/ml Wilcoxon signed-rank across 16 blocks</w:t>
      </w:r>
    </w:p>
    <w:p>
      <w:pPr>
        <w:pStyle w:val="Normal"/>
      </w:pPr>
      <w:r>
        <w:t xml:space="preserve">- **Figures:**</w:t>
      </w:r>
    </w:p>
    <w:p>
      <w:pPr>
        <w:pStyle w:val="Normal"/>
      </w:pPr>
      <w:r>
        <w:t xml:space="preserve">  - `motility_trajectories_faceted.png` — % motile over 9 timepoints, 16 panels (plant×part×parasite), colored by group</w:t>
      </w:r>
    </w:p>
    <w:p>
      <w:pPr>
        <w:pStyle w:val="Normal"/>
      </w:pPr>
      <w:r>
        <w:t xml:space="preserve">  - `motility_concentration_response.png` — % motile (averaged t=0–120) vs log10(concentration), loess smoother, faceted by parasite</w:t>
      </w:r>
    </w:p>
    <w:p>
      <w:pPr>
        <w:pStyle w:val="Normal"/>
      </w:pPr>
      <w:r>
        <w:t xml:space="preserve">  - `motility_t120_heatmap.png` — % motile at t=120 (rows=7 groups, cols=16 blocks)</w:t>
      </w:r>
    </w:p>
    <w:p>
      <w:pPr>
        <w:pStyle w:val="Normal"/>
      </w:pPr>
      <w:r>
        <w:t xml:space="preserve">  - `motility_jt_trend_beeswarm.png` — JT test statistic per block, colored: red=significant decreasing trend</w:t>
      </w:r>
    </w:p>
    <w:p>
      <w:pPr>
        <w:pStyle w:val="Normal"/>
      </w:pPr>
      <w:r>
        <w:t xml:space="preserve">  - `motility_100_vs_0005_scatter.png` — paired % motile at t=120 (100mg/ml vs 0.005mg/ml), 16 points</w:t>
      </w:r>
    </w:p>
    <w:p>
      <w:pPr>
        <w:pStyle w:val="Normal"/>
      </w:pPr>
      <w:r>
        <w:t xml:space="preserve">- **Rationale:** Motility is binary; % motile is the descriptive metric. JT trend tests the core dose-response hypothesis. The scatter shows individual-block agreement. JT formula: Σ_{i&lt;j} U_{ij} where U_{ij}=#(x_i&gt;x_j) for ordered concentrations — directly tests whether higher concentration → lower motility.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Objective 4: In-vivo infectivity monitoring (docx §1.8.2.iv)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Monitor body weight, parasitaemia, and PCV in albino mice.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4a: Parasitaemia (LEV) — primary efficacy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**Dataset:** `parasitemia.csv`</w:t>
      </w:r>
    </w:p>
    <w:p>
      <w:pPr>
        <w:pStyle w:val="Normal"/>
      </w:pPr>
      <w:r>
        <w:t xml:space="preserve">- **Analysis:**</w:t>
      </w:r>
    </w:p>
    <w:p>
      <w:pPr>
        <w:pStyle w:val="Normal"/>
      </w:pPr>
      <w:r>
        <w:t xml:space="preserve">  - Summary endpoint: day-40 LEV per group per block</w:t>
      </w:r>
    </w:p>
    <w:p>
      <w:pPr>
        <w:pStyle w:val="Normal"/>
      </w:pPr>
      <w:r>
        <w:t xml:space="preserve">  - Wilcoxon signed-rank: T. congolense day-40 LEV vs T. evansi day-40 LEV (paired, 16 plant×part pairs)</w:t>
      </w:r>
    </w:p>
    <w:p>
      <w:pPr>
        <w:pStyle w:val="Normal"/>
      </w:pPr>
      <w:r>
        <w:t xml:space="preserve">  - Mann-Whitney U: A. indica day-40 LEV vs M. oleifera day-40 LEV (8 blocks each)</w:t>
      </w:r>
    </w:p>
    <w:p>
      <w:pPr>
        <w:pStyle w:val="Normal"/>
      </w:pPr>
      <w:r>
        <w:t xml:space="preserve">  - Cliff's delta between species</w:t>
      </w:r>
    </w:p>
    <w:p>
      <w:pPr>
        <w:pStyle w:val="Normal"/>
      </w:pPr>
      <w:r>
        <w:t xml:space="preserve">  - Spearman: log10(concentration) vs mean LEV per block (5 conc × 16 blocks)</w:t>
      </w:r>
    </w:p>
    <w:p>
      <w:pPr>
        <w:pStyle w:val="Normal"/>
      </w:pPr>
      <w:r>
        <w:t xml:space="preserve">- **Statistical method:** Wilcoxon signed-rank for paired blocks — valid for ordinal LEV with n=16 pairs; tests if median difference ≠ 0. Mann-Whitney for species comparison — compares distribution of day-40 LEV (8 vs 8 blocks). Spearman for dose-response — measures monotonic association between concentration rank and effect. LEV is ordinal so non-parametric methods avoid distributional assumptions.</w:t>
      </w:r>
    </w:p>
    <w:p>
      <w:pPr>
        <w:pStyle w:val="Normal"/>
      </w:pPr>
      <w:r>
        <w:t xml:space="preserve">- **Tables:**</w:t>
      </w:r>
    </w:p>
    <w:p>
      <w:pPr>
        <w:pStyle w:val="Normal"/>
      </w:pPr>
      <w:r>
        <w:t xml:space="preserve">  - `parasitemia_stats.csv` — day-40 LEV per group×block (112 rows)</w:t>
      </w:r>
    </w:p>
    <w:p>
      <w:pPr>
        <w:pStyle w:val="Normal"/>
      </w:pPr>
      <w:r>
        <w:t xml:space="preserve">  - `parasitemia_species_test.csv` — Wilcoxon signed-rank (con vs evansi), Cliff's delta</w:t>
      </w:r>
    </w:p>
    <w:p>
      <w:pPr>
        <w:pStyle w:val="Normal"/>
      </w:pPr>
      <w:r>
        <w:t xml:space="preserve">  - `parasitemia_plant_test.csv` — Mann-Whitney U (A. indica vs M. oleifera), Cliff's delta</w:t>
      </w:r>
    </w:p>
    <w:p>
      <w:pPr>
        <w:pStyle w:val="Normal"/>
      </w:pPr>
      <w:r>
        <w:t xml:space="preserve">  - `parasitemia_dose_correlation.csv` — Spearman rho per block + per parasite</w:t>
      </w:r>
    </w:p>
    <w:p>
      <w:pPr>
        <w:pStyle w:val="Normal"/>
      </w:pPr>
      <w:r>
        <w:t xml:space="preserve">- **Figures:**</w:t>
      </w:r>
    </w:p>
    <w:p>
      <w:pPr>
        <w:pStyle w:val="Normal"/>
      </w:pPr>
      <w:r>
        <w:t xml:space="preserve">  - `parasitemia_trajectories_faceted.png` — LEV over 40 days, 16 panels, colored by group</w:t>
      </w:r>
    </w:p>
    <w:p>
      <w:pPr>
        <w:pStyle w:val="Normal"/>
      </w:pPr>
      <w:r>
        <w:t xml:space="preserve">  - `parasitemia_day40_boxplot.png` — day-40 LEV by group, split by plant×parasite</w:t>
      </w:r>
    </w:p>
    <w:p>
      <w:pPr>
        <w:pStyle w:val="Normal"/>
      </w:pPr>
      <w:r>
        <w:t xml:space="preserve">  - `parasitemia_species_comparison.png` — paired scatter day-40 LEV (A. indica vs M. oleifera), 16 points per parasite</w:t>
      </w:r>
    </w:p>
    <w:p>
      <w:pPr>
        <w:pStyle w:val="Normal"/>
      </w:pPr>
      <w:r>
        <w:t xml:space="preserve">  - `parasitemia_concentration_gradient.png` — mean day-40 LEV vs log10(concentration), Spearman fit</w:t>
      </w:r>
    </w:p>
    <w:p>
      <w:pPr>
        <w:pStyle w:val="Normal"/>
      </w:pPr>
      <w:r>
        <w:t xml:space="preserve">  - `parasitemia_animals_dead_heatmap.png` — mortality pattern across blocks×groups×days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4b: Body weight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**Dataset:** `weight.csv`</w:t>
      </w:r>
    </w:p>
    <w:p>
      <w:pPr>
        <w:pStyle w:val="Normal"/>
      </w:pPr>
      <w:r>
        <w:t xml:space="preserve">- **Analysis:**</w:t>
      </w:r>
    </w:p>
    <w:p>
      <w:pPr>
        <w:pStyle w:val="Normal"/>
      </w:pPr>
      <w:r>
        <w:t xml:space="preserve">  - Δweight = Post-Infection − Pre-Infection per group per block</w:t>
      </w:r>
    </w:p>
    <w:p>
      <w:pPr>
        <w:pStyle w:val="Normal"/>
      </w:pPr>
      <w:r>
        <w:t xml:space="preserve">  - Wilcoxon signed-rank: A. indica vs M. oleifera Δweight (paired blocks)</w:t>
      </w:r>
    </w:p>
    <w:p>
      <w:pPr>
        <w:pStyle w:val="Normal"/>
      </w:pPr>
      <w:r>
        <w:t xml:space="preserve">  - Toxicity flag: Δweight &lt; −2g</w:t>
      </w:r>
    </w:p>
    <w:p>
      <w:pPr>
        <w:pStyle w:val="Normal"/>
      </w:pPr>
      <w:r>
        <w:t xml:space="preserve">  - Mann-Whitney U: Δweight T. congolense vs T. evansi</w:t>
      </w:r>
    </w:p>
    <w:p>
      <w:pPr>
        <w:pStyle w:val="Normal"/>
      </w:pPr>
      <w:r>
        <w:t xml:space="preserve">- **Statistical method:** Wilcoxon signed-rank for paired species comparison on Δweight (continuous); Mann-Whitney for parasite comparison. Δweight is ratio-scaled (grams) so parametric alternatives exist but sample size is too small (n=16) for normality checks. Non-parametric chosen for robustness.</w:t>
      </w:r>
    </w:p>
    <w:p>
      <w:pPr>
        <w:pStyle w:val="Normal"/>
      </w:pPr>
      <w:r>
        <w:t xml:space="preserve">- **Tables:**</w:t>
      </w:r>
    </w:p>
    <w:p>
      <w:pPr>
        <w:pStyle w:val="Normal"/>
      </w:pPr>
      <w:r>
        <w:t xml:space="preserve">  - `weight_stats.csv` — Δweight per group×block, toxicity flags</w:t>
      </w:r>
    </w:p>
    <w:p>
      <w:pPr>
        <w:pStyle w:val="Normal"/>
      </w:pPr>
      <w:r>
        <w:t xml:space="preserve">  - `weight_species_test.csv` — Wilcoxon signed-rank (species), Mann-Whitney (parasite)</w:t>
      </w:r>
    </w:p>
    <w:p>
      <w:pPr>
        <w:pStyle w:val="Normal"/>
      </w:pPr>
      <w:r>
        <w:t xml:space="preserve">- **Figures:**</w:t>
      </w:r>
    </w:p>
    <w:p>
      <w:pPr>
        <w:pStyle w:val="Normal"/>
      </w:pPr>
      <w:r>
        <w:t xml:space="preserve">  - `weight_trajectory_faceted.png` — weight across 3 timepoints, 16 panels</w:t>
      </w:r>
    </w:p>
    <w:p>
      <w:pPr>
        <w:pStyle w:val="Normal"/>
      </w:pPr>
      <w:r>
        <w:t xml:space="preserve">  - `weight_delta_boxplot.png` — Δweight distribution by plant, split by parasite</w:t>
      </w:r>
    </w:p>
    <w:p>
      <w:pPr>
        <w:pStyle w:val="Normal"/>
      </w:pPr>
      <w:r>
        <w:t xml:space="preserve">  - `weight_toxicity_scatter.png` — Pre-Infection vs Post-Infection (paired points), colored by toxicity flag</w:t>
      </w:r>
    </w:p>
    <w:p>
      <w:pPr>
        <w:pStyle w:val="Normal"/>
      </w:pPr>
      <w:r>
        <w:t xml:space="preserve">  - `weight_missing_heatmap.png` — mortality (NA) heatmap across blocks×groups×timepoints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#### 4c: PCV (packed cell volume)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**Dataset:** `pcv.csv`</w:t>
      </w:r>
    </w:p>
    <w:p>
      <w:pPr>
        <w:pStyle w:val="Normal"/>
      </w:pPr>
      <w:r>
        <w:t xml:space="preserve">- **Analysis:**</w:t>
      </w:r>
    </w:p>
    <w:p>
      <w:pPr>
        <w:pStyle w:val="Normal"/>
      </w:pPr>
      <w:r>
        <w:t xml:space="preserve">  - ΔPCV = Post-Infection − Pre-Infection per group per block</w:t>
      </w:r>
    </w:p>
    <w:p>
      <w:pPr>
        <w:pStyle w:val="Normal"/>
      </w:pPr>
      <w:r>
        <w:t xml:space="preserve">  - Wilcoxon signed-rank: A. indica vs M. oleifera ΔPCV</w:t>
      </w:r>
    </w:p>
    <w:p>
      <w:pPr>
        <w:pStyle w:val="Normal"/>
      </w:pPr>
      <w:r>
        <w:t xml:space="preserve">  - Anemia flag: ΔPCV &lt; −10pp</w:t>
      </w:r>
    </w:p>
    <w:p>
      <w:pPr>
        <w:pStyle w:val="Normal"/>
      </w:pPr>
      <w:r>
        <w:t xml:space="preserve">- **Statistical method:** Same as weight. PCV is ratio-scaled (percentage); same non-parametric approach for consistency and robustness with n=16.</w:t>
      </w:r>
    </w:p>
    <w:p>
      <w:pPr>
        <w:pStyle w:val="Normal"/>
      </w:pPr>
      <w:r>
        <w:t xml:space="preserve">- **Tables:**</w:t>
      </w:r>
    </w:p>
    <w:p>
      <w:pPr>
        <w:pStyle w:val="Normal"/>
      </w:pPr>
      <w:r>
        <w:t xml:space="preserve">  - `pcv_stats.csv` — ΔPCV per group×block, anemia flags</w:t>
      </w:r>
    </w:p>
    <w:p>
      <w:pPr>
        <w:pStyle w:val="Normal"/>
      </w:pPr>
      <w:r>
        <w:t xml:space="preserve">  - `pcv_species_test.csv` — Wilcoxon results</w:t>
      </w:r>
    </w:p>
    <w:p>
      <w:pPr>
        <w:pStyle w:val="Normal"/>
      </w:pPr>
      <w:r>
        <w:t xml:space="preserve">- **Figures:**</w:t>
      </w:r>
    </w:p>
    <w:p>
      <w:pPr>
        <w:pStyle w:val="Normal"/>
      </w:pPr>
      <w:r>
        <w:t xml:space="preserve">  - `pcv_trajectory_faceted.png` — PCV across 3 timepoints, 16 panels</w:t>
      </w:r>
    </w:p>
    <w:p>
      <w:pPr>
        <w:pStyle w:val="Normal"/>
      </w:pPr>
      <w:r>
        <w:t xml:space="preserve">  - `pcv_delta_boxplot.png` — ΔPCV distribution by plant, split by parasite</w:t>
      </w:r>
    </w:p>
    <w:p>
      <w:pPr>
        <w:pStyle w:val="Normal"/>
      </w:pPr>
      <w:r>
        <w:t xml:space="preserve">  - `pcv_weight_correlation.png` — ΔPCV vs Δweight scatter (anemia-toxicity link)</w:t>
      </w:r>
    </w:p>
    <w:p>
      <w:pPr>
        <w:pStyle w:val="Normal"/>
      </w:pPr>
      <w:r>
        <w:t xml:space="preserve">  - `pcv_anemia_heatmap.png` — anemia flags across blocks×groups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Objective 5: Comparative efficacy A. indica vs M. oleifera (docx §1.8.2.v)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Determine superior anti-trypanosomal agent across both parasites.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**Datasets:** `parasitemia.csv`, `motility.csv`</w:t>
      </w:r>
    </w:p>
    <w:p>
      <w:pPr>
        <w:pStyle w:val="Normal"/>
      </w:pPr>
      <w:r>
        <w:t xml:space="preserve">- **Analysis:**</w:t>
      </w:r>
    </w:p>
    <w:p>
      <w:pPr>
        <w:pStyle w:val="Normal"/>
      </w:pPr>
      <w:r>
        <w:t xml:space="preserve">  - Wilcoxon signed-rank on day-40 LEV (16 paired blocks, matched plant×part×parasite)</w:t>
      </w:r>
    </w:p>
    <w:p>
      <w:pPr>
        <w:pStyle w:val="Normal"/>
      </w:pPr>
      <w:r>
        <w:t xml:space="preserve">  - Cliff's delta for effect size</w:t>
      </w:r>
    </w:p>
    <w:p>
      <w:pPr>
        <w:pStyle w:val="Normal"/>
      </w:pPr>
      <w:r>
        <w:t xml:space="preserve">  - Motility cross-check: Wilcoxon on mean % motile reduction (t=120 vs t=0) per block</w:t>
      </w:r>
    </w:p>
    <w:p>
      <w:pPr>
        <w:pStyle w:val="Normal"/>
      </w:pPr>
      <w:r>
        <w:t xml:space="preserve">- **Statistical method:** Wilcoxon signed-rank — paired comparison of 16 blocks (same plant-part-parasite combination, different plant species). Tests H0: median difference = 0. Cliff's delta for magnitude. Paired design is valid because each plant×part×parasite block exists in both species.</w:t>
      </w:r>
    </w:p>
    <w:p>
      <w:pPr>
        <w:pStyle w:val="Normal"/>
      </w:pPr>
      <w:r>
        <w:t xml:space="preserve">- **Tables:**</w:t>
      </w:r>
    </w:p>
    <w:p>
      <w:pPr>
        <w:pStyle w:val="Normal"/>
      </w:pPr>
      <w:r>
        <w:t xml:space="preserve">  - `species_comparison.csv` — paired day-40 LEV values, Wilcoxon W, p, Cliff's delta</w:t>
      </w:r>
    </w:p>
    <w:p>
      <w:pPr>
        <w:pStyle w:val="Normal"/>
      </w:pPr>
      <w:r>
        <w:t xml:space="preserve">  - `species_motility_test.csv` — motility comparison stats</w:t>
      </w:r>
    </w:p>
    <w:p>
      <w:pPr>
        <w:pStyle w:val="Normal"/>
      </w:pPr>
      <w:r>
        <w:t xml:space="preserve">- **Figures:**</w:t>
      </w:r>
    </w:p>
    <w:p>
      <w:pPr>
        <w:pStyle w:val="Normal"/>
      </w:pPr>
      <w:r>
        <w:t xml:space="preserve">  - `species_parasitemia_forest.png` — forest plot: per-block day-40 LEV difference (M. oleifera − A. indica), positive = M wins</w:t>
      </w:r>
    </w:p>
    <w:p>
      <w:pPr>
        <w:pStyle w:val="Normal"/>
      </w:pPr>
      <w:r>
        <w:t xml:space="preserve">  - `species_motility_forest.png` — forest plot: per-block % motile difference</w:t>
      </w:r>
    </w:p>
    <w:p>
      <w:pPr>
        <w:pStyle w:val="Normal"/>
      </w:pPr>
      <w:r>
        <w:t xml:space="preserve">  - `species_summary_scatter.png` — A. indica vs M. oleifera day-40 LEV, 16 points per parasite</w:t>
      </w:r>
    </w:p>
    <w:p>
      <w:pPr>
        <w:pStyle w:val="Normal"/>
      </w:pPr>
      <w:r>
        <w:t xml:space="preserve">  - `species_interaction_plot.png` — mean LEV by plant × parasite (interaction)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Exploratory 1: Part comparison within plant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Rank plant parts by efficacy (1=leaves, 2=stem bark, 3=roots, 4=seeds).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**Dataset:** `parasitemia.csv`</w:t>
      </w:r>
    </w:p>
    <w:p>
      <w:pPr>
        <w:pStyle w:val="Normal"/>
      </w:pPr>
      <w:r>
        <w:t xml:space="preserve">- **Analysis:** Day-40 LEV per part per plant per parasite; Wilcoxon signed-rank for paired part comparisons (matched by plant×parasite×concentration)</w:t>
      </w:r>
    </w:p>
    <w:p>
      <w:pPr>
        <w:pStyle w:val="Normal"/>
      </w:pPr>
      <w:r>
        <w:t xml:space="preserve">- **Statistical method:** Wilcoxon signed-rank on paired parts — 8 concentration-matching gives n=4 paired values (100mg/ml in leaves vs stem bark vs roots vs seeds for same plant×parasite). Limited power but descriptive ranking + effect size (Cliff's delta) is meaningful.</w:t>
      </w:r>
    </w:p>
    <w:p>
      <w:pPr>
        <w:pStyle w:val="Normal"/>
      </w:pPr>
      <w:r>
        <w:t xml:space="preserve">- **Tables:**</w:t>
      </w:r>
    </w:p>
    <w:p>
      <w:pPr>
        <w:pStyle w:val="Normal"/>
      </w:pPr>
      <w:r>
        <w:t xml:space="preserve">  - `part_comparison.csv` — mean day-40 LEV per part, pairwise Cliff's delta</w:t>
      </w:r>
    </w:p>
    <w:p>
      <w:pPr>
        <w:pStyle w:val="Normal"/>
      </w:pPr>
      <w:r>
        <w:t xml:space="preserve">  - `part_ranking.csv` — efficacy ranking per plant×parasite</w:t>
      </w:r>
    </w:p>
    <w:p>
      <w:pPr>
        <w:pStyle w:val="Normal"/>
      </w:pPr>
      <w:r>
        <w:t xml:space="preserve">- **Figures:**</w:t>
      </w:r>
    </w:p>
    <w:p>
      <w:pPr>
        <w:pStyle w:val="Normal"/>
      </w:pPr>
      <w:r>
        <w:t xml:space="preserve">  - `part_efficacy_boxplot.png` — day-40 LEV by part, faceted by plant×parasite, 8 panels</w:t>
      </w:r>
    </w:p>
    <w:p>
      <w:pPr>
        <w:pStyle w:val="Normal"/>
      </w:pPr>
      <w:r>
        <w:t xml:space="preserve">  - `part_ranking_barchart.png` — mean day-40 LEV per part, ranked, split by plant</w:t>
      </w:r>
    </w:p>
    <w:p>
      <w:pPr>
        <w:pStyle w:val="Normal"/>
      </w:pPr>
      <w:r>
        <w:t xml:space="preserve">  - `part_dose_interaction.png` — part × concentration interaction on day-40 LEV</w:t>
      </w:r>
    </w:p>
    <w:p>
      <w:pPr>
        <w:pStyle w:val="Normal"/>
      </w:pPr>
      <w:r>
        <w:t xml:space="preserve">  - `part_toxicity_overlay.png` — part ranking + Δweight overlay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Exploratory 2: Dose-response gradient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Test monotonic trend: higher concentration → lower parasitemia.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**Dataset:** `parasitemia.csv`</w:t>
      </w:r>
    </w:p>
    <w:p>
      <w:pPr>
        <w:pStyle w:val="Normal"/>
      </w:pPr>
      <w:r>
        <w:t xml:space="preserve">- **Analysis:** For each of 16 blocks, compute Spearman ρ between log10(concentration) and mean day-40 LEV across 5 concentration groups. Average across blocks. Jonckheere-Terpacca trend test per block.</w:t>
      </w:r>
    </w:p>
    <w:p>
      <w:pPr>
        <w:pStyle w:val="Normal"/>
      </w:pPr>
      <w:r>
        <w:t xml:space="preserve">- **Statistical method:** Spearman rank correlation — measures monotonic association between concentration rank and effect. Formula: ρ = 1 − 6Σd²/(n(n²−1)) where d = rank difference. Appropriate because concentrations have natural ordering and LEV is ordinal. JT test adds formal hypothesis test for ordered trend.</w:t>
      </w:r>
    </w:p>
    <w:p>
      <w:pPr>
        <w:pStyle w:val="Normal"/>
      </w:pPr>
      <w:r>
        <w:t xml:space="preserve">- **Tables:**</w:t>
      </w:r>
    </w:p>
    <w:p>
      <w:pPr>
        <w:pStyle w:val="Normal"/>
      </w:pPr>
      <w:r>
        <w:t xml:space="preserve">  - `dose_response.csv` — Spearman ρ, p-value per block (16 rows)</w:t>
      </w:r>
    </w:p>
    <w:p>
      <w:pPr>
        <w:pStyle w:val="Normal"/>
      </w:pPr>
      <w:r>
        <w:t xml:space="preserve">  - `dose_response_summary.csv` — average ρ per plant×parasite (8 rows)</w:t>
      </w:r>
    </w:p>
    <w:p>
      <w:pPr>
        <w:pStyle w:val="Normal"/>
      </w:pPr>
      <w:r>
        <w:t xml:space="preserve">  - `dose_response_jt_test.csv` — JT test statistics per block</w:t>
      </w:r>
    </w:p>
    <w:p>
      <w:pPr>
        <w:pStyle w:val="Normal"/>
      </w:pPr>
      <w:r>
        <w:t xml:space="preserve">- **Figures:**</w:t>
      </w:r>
    </w:p>
    <w:p>
      <w:pPr>
        <w:pStyle w:val="Normal"/>
      </w:pPr>
      <w:r>
        <w:t xml:space="preserve">  - `dose_response_scatter.png` — log10(concentration) vs day-40 LEV, points colored by block direction</w:t>
      </w:r>
    </w:p>
    <w:p>
      <w:pPr>
        <w:pStyle w:val="Normal"/>
      </w:pPr>
      <w:r>
        <w:t xml:space="preserve">  - `dose_response_curve.png` — mean LEV vs concentration, loess, 16 panels</w:t>
      </w:r>
    </w:p>
    <w:p>
      <w:pPr>
        <w:pStyle w:val="Normal"/>
      </w:pPr>
      <w:r>
        <w:t xml:space="preserve">  - `dose_response_heatmap.png` — Spearman ρ heatmap (4 parts × 4 plants), colored by correlation direction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Exploratory 3: Phytochemical ↔ efficacy association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Test if specific compounds correlate with lower parasitemia.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**Datasets:** `phytochemical.csv`, `parasitemia.csv`</w:t>
      </w:r>
    </w:p>
    <w:p>
      <w:pPr>
        <w:pStyle w:val="Normal"/>
      </w:pPr>
      <w:r>
        <w:t xml:space="preserve">- **Analysis:** For each compound (12), compare day-40 LEV between plant×parts where present vs absent (across 16 blocks). Mann-Whitney U (8 present vs 8 absent max). Cliff's delta for effect size.</w:t>
      </w:r>
    </w:p>
    <w:p>
      <w:pPr>
        <w:pStyle w:val="Normal"/>
      </w:pPr>
      <w:r>
        <w:t xml:space="preserve">- **Statistical method:** Mann-Whitney U — compares day-40 LEV distributions between groups (compound present vs absent). Each compound appears in a subset of 8 plant×part combos, absent in the rest. Cliff's delta measures magnitude. Formula: δ = #(x&gt;y)−#(x&lt;y)/(n_x × n_y) — proportion of dominance.</w:t>
      </w:r>
    </w:p>
    <w:p>
      <w:pPr>
        <w:pStyle w:val="Normal"/>
      </w:pPr>
      <w:r>
        <w:t xml:space="preserve">- **Tables:**</w:t>
      </w:r>
    </w:p>
    <w:p>
      <w:pPr>
        <w:pStyle w:val="Normal"/>
      </w:pPr>
      <w:r>
        <w:t xml:space="preserve">  - `phytochemical_association.csv` — per-compound: MWU W, p, Cliff's delta, present count, absent count</w:t>
      </w:r>
    </w:p>
    <w:p>
      <w:pPr>
        <w:pStyle w:val="Normal"/>
      </w:pPr>
      <w:r>
        <w:t xml:space="preserve">  - `phytochemical_efficacy_ranks.csv` — compounds ranked by |δ|</w:t>
      </w:r>
    </w:p>
    <w:p>
      <w:pPr>
        <w:pStyle w:val="Normal"/>
      </w:pPr>
      <w:r>
        <w:t xml:space="preserve">- **Figures:**</w:t>
      </w:r>
    </w:p>
    <w:p>
      <w:pPr>
        <w:pStyle w:val="Normal"/>
      </w:pPr>
      <w:r>
        <w:t xml:space="preserve">  - `phytochemical_efficacy_scatter.png` — per-compound: mean day-40 LEV present vs absent (12 pairs)</w:t>
      </w:r>
    </w:p>
    <w:p>
      <w:pPr>
        <w:pStyle w:val="Normal"/>
      </w:pPr>
      <w:r>
        <w:t xml:space="preserve">  - `phytochemical_association_forest.png` — forest plot of Cliff's δ per compound</w:t>
      </w:r>
    </w:p>
    <w:p>
      <w:pPr>
        <w:pStyle w:val="Normal"/>
      </w:pPr>
      <w:r>
        <w:t xml:space="preserve">  - `phytochemical_correlation_heatmap.png` — compound presence × day-40 LEV (12 × 16 matrix)</w:t>
      </w:r>
    </w:p>
    <w:p>
      <w:pPr>
        <w:pStyle w:val="Normal"/>
      </w:pPr>
      <w:r>
        <w:t xml:space="preserve">  - `phytochemical_dose_moderation.png` — compound presence × concentration interaction plot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Output Structure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```</w:t>
      </w:r>
    </w:p>
    <w:p>
      <w:pPr>
        <w:pStyle w:val="Normal"/>
      </w:pPr>
      <w:r>
        <w:t xml:space="preserve">analysis/</w:t>
      </w:r>
    </w:p>
    <w:p>
      <w:pPr>
        <w:pStyle w:val="Normal"/>
      </w:pPr>
      <w:r>
        <w:t xml:space="preserve">├── R/</w:t>
      </w:r>
    </w:p>
    <w:p>
      <w:pPr>
        <w:pStyle w:val="Normal"/>
      </w:pPr>
      <w:r>
        <w:t xml:space="preserve">│   ├── 01_build_datasets.R</w:t>
      </w:r>
    </w:p>
    <w:p>
      <w:pPr>
        <w:pStyle w:val="Normal"/>
      </w:pPr>
      <w:r>
        <w:t xml:space="preserve">│   └── 02_analysis.R</w:t>
      </w:r>
    </w:p>
    <w:p>
      <w:pPr>
        <w:pStyle w:val="Normal"/>
      </w:pPr>
      <w:r>
        <w:t xml:space="preserve">├── data/</w:t>
      </w:r>
    </w:p>
    <w:p>
      <w:pPr>
        <w:pStyle w:val="Normal"/>
      </w:pPr>
      <w:r>
        <w:t xml:space="preserve">└── results/</w:t>
      </w:r>
    </w:p>
    <w:p>
      <w:pPr>
        <w:pStyle w:val="Normal"/>
      </w:pPr>
      <w:r>
        <w:t xml:space="preserve">    ├── tables/</w:t>
      </w:r>
    </w:p>
    <w:p>
      <w:pPr>
        <w:pStyle w:val="Normal"/>
      </w:pPr>
      <w:r>
        <w:t xml:space="preserve">    │   ├── phytochemical_summary.csv</w:t>
      </w:r>
    </w:p>
    <w:p>
      <w:pPr>
        <w:pStyle w:val="Normal"/>
      </w:pPr>
      <w:r>
        <w:t xml:space="preserve">    │   ├── phytochemical_counts.csv</w:t>
      </w:r>
    </w:p>
    <w:p>
      <w:pPr>
        <w:pStyle w:val="Normal"/>
      </w:pPr>
      <w:r>
        <w:t xml:space="preserve">    │   ├── phytochemical_part_profiles.csv</w:t>
      </w:r>
    </w:p>
    <w:p>
      <w:pPr>
        <w:pStyle w:val="Normal"/>
      </w:pPr>
      <w:r>
        <w:t xml:space="preserve">    │   ├── motility_stats.csv</w:t>
      </w:r>
    </w:p>
    <w:p>
      <w:pPr>
        <w:pStyle w:val="Normal"/>
      </w:pPr>
      <w:r>
        <w:t xml:space="preserve">    │   ├── motility_summary.csv</w:t>
      </w:r>
    </w:p>
    <w:p>
      <w:pPr>
        <w:pStyle w:val="Normal"/>
      </w:pPr>
      <w:r>
        <w:t xml:space="preserve">    │   ├── motility_concentration_test.csv</w:t>
      </w:r>
    </w:p>
    <w:p>
      <w:pPr>
        <w:pStyle w:val="Normal"/>
      </w:pPr>
      <w:r>
        <w:t xml:space="preserve">    │   ├── parasitemia_stats.csv</w:t>
      </w:r>
    </w:p>
    <w:p>
      <w:pPr>
        <w:pStyle w:val="Normal"/>
      </w:pPr>
      <w:r>
        <w:t xml:space="preserve">    │   ├── parasitemia_species_test.csv</w:t>
      </w:r>
    </w:p>
    <w:p>
      <w:pPr>
        <w:pStyle w:val="Normal"/>
      </w:pPr>
      <w:r>
        <w:t xml:space="preserve">    │   ├── parasitemia_plant_test.csv</w:t>
      </w:r>
    </w:p>
    <w:p>
      <w:pPr>
        <w:pStyle w:val="Normal"/>
      </w:pPr>
      <w:r>
        <w:t xml:space="preserve">    │   ├── parasitemia_dose_correlation.csv</w:t>
      </w:r>
    </w:p>
    <w:p>
      <w:pPr>
        <w:pStyle w:val="Normal"/>
      </w:pPr>
      <w:r>
        <w:t xml:space="preserve">    │   ├── weight_stats.csv</w:t>
      </w:r>
    </w:p>
    <w:p>
      <w:pPr>
        <w:pStyle w:val="Normal"/>
      </w:pPr>
      <w:r>
        <w:t xml:space="preserve">    │   ├── weight_species_test.csv</w:t>
      </w:r>
    </w:p>
    <w:p>
      <w:pPr>
        <w:pStyle w:val="Normal"/>
      </w:pPr>
      <w:r>
        <w:t xml:space="preserve">    │   ├── pcv_stats.csv</w:t>
      </w:r>
    </w:p>
    <w:p>
      <w:pPr>
        <w:pStyle w:val="Normal"/>
      </w:pPr>
      <w:r>
        <w:t xml:space="preserve">    │   ├── pcv_species_test.csv</w:t>
      </w:r>
    </w:p>
    <w:p>
      <w:pPr>
        <w:pStyle w:val="Normal"/>
      </w:pPr>
      <w:r>
        <w:t xml:space="preserve">    │   ├── species_comparison.csv</w:t>
      </w:r>
    </w:p>
    <w:p>
      <w:pPr>
        <w:pStyle w:val="Normal"/>
      </w:pPr>
      <w:r>
        <w:t xml:space="preserve">    │   ├── part_comparison.csv</w:t>
      </w:r>
    </w:p>
    <w:p>
      <w:pPr>
        <w:pStyle w:val="Normal"/>
      </w:pPr>
      <w:r>
        <w:t xml:space="preserve">    │   ├── part_ranking.csv</w:t>
      </w:r>
    </w:p>
    <w:p>
      <w:pPr>
        <w:pStyle w:val="Normal"/>
      </w:pPr>
      <w:r>
        <w:t xml:space="preserve">    │   ├── dose_response.csv</w:t>
      </w:r>
    </w:p>
    <w:p>
      <w:pPr>
        <w:pStyle w:val="Normal"/>
      </w:pPr>
      <w:r>
        <w:t xml:space="preserve">    │   ├── dose_response_summary.csv</w:t>
      </w:r>
    </w:p>
    <w:p>
      <w:pPr>
        <w:pStyle w:val="Normal"/>
      </w:pPr>
      <w:r>
        <w:t xml:space="preserve">    │   ├── dose_response_jt_test.csv</w:t>
      </w:r>
    </w:p>
    <w:p>
      <w:pPr>
        <w:pStyle w:val="Normal"/>
      </w:pPr>
      <w:r>
        <w:t xml:space="preserve">    │   └── phytochemical_association.csv</w:t>
      </w:r>
    </w:p>
    <w:p>
      <w:pPr>
        <w:pStyle w:val="Normal"/>
      </w:pPr>
      <w:r>
        <w:t xml:space="preserve">    ├── figures/ (all .png)</w:t>
      </w:r>
    </w:p>
    <w:p>
      <w:pPr>
        <w:pStyle w:val="Normal"/>
      </w:pPr>
      <w:r>
        <w:t xml:space="preserve">    └── report.html</w:t>
      </w:r>
    </w:p>
    <w:p>
      <w:pPr>
        <w:pStyle w:val="Normal"/>
      </w:pPr>
      <w:r>
        <w:t xml:space="preserve">```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Method Selection Rationale Summary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**Wilcoxon signed-rank** — paired blocks (same plant×part×parasite, different species); 16 pairs per comparison; valid for ordinal LEV with n≥6 pairs</w:t>
      </w:r>
    </w:p>
    <w:p>
      <w:pPr>
        <w:pStyle w:val="Normal"/>
      </w:pPr>
      <w:r>
        <w:t xml:space="preserve">2. **Mann-Whitney U** — unpaired groups (8 blocks per plant); compares distribution; no normality needed</w:t>
      </w:r>
    </w:p>
    <w:p>
      <w:pPr>
        <w:pStyle w:val="Normal"/>
      </w:pPr>
      <w:r>
        <w:t xml:space="preserve">3. **Cliff's delta** — effect size for ordinal/binary; δ = #(x&gt;y)−#(x&lt;y)/(n_x×n_y); |δ|≥0.11 small, ≥0.28 medium, ≥0.43 large (Vargha &amp; Delaney 2000)</w:t>
      </w:r>
    </w:p>
    <w:p>
      <w:pPr>
        <w:pStyle w:val="Normal"/>
      </w:pPr>
      <w:r>
        <w:t xml:space="preserve">4. **Spearman ρ** — monotonic association for dose-response; ρ = 1−6Σd²/(n(n²−1)); no linearity assumption</w:t>
      </w:r>
    </w:p>
    <w:p>
      <w:pPr>
        <w:pStyle w:val="Normal"/>
      </w:pPr>
      <w:r>
        <w:t xml:space="preserve">5. **Jonckheere-Terpacca** — ordered trend across concentrations; more powerful than KW for monotonic alternatives; JT = Σ_{i&lt;j} U_{ij}</w:t>
      </w:r>
    </w:p>
    <w:p>
      <w:pPr>
        <w:pStyle w:val="Normal"/>
      </w:pPr>
      <w:r>
        <w:t xml:space="preserve">6. **Descriptive only within blocks** — n=1 per group per block; no test has power at n=1</w:t>
      </w:r>
    </w:p>
    <w:p>
      <w:pPr>
        <w:pStyle w:val="Normal"/>
      </w:pPr>
      <w:r>
        <w:t xml:space="preserve">7. **p &lt; 0.05** throughout; Holm adjustment on Dunn's post-hoc</w:t>
      </w:r>
    </w:p>
    <w:p>
      <w:pPr>
        <w:pStyle w:val="Normal"/>
      </w:pPr>
      <w:r>
        <w:t xml:space="preserve">8. **All methods non-parametric** — LEV is ordinal 0–5; n=16 blocks provides minimal but sufficient power for paired tests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Critical Caveats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Source data averaged n=3 to 1 mean per group. All tests use n=16 blocks or n=8 per group as the analytical unit.</w:t>
      </w:r>
    </w:p>
    <w:p>
      <w:pPr>
        <w:pStyle w:val="Normal"/>
      </w:pPr>
      <w:r>
        <w:t xml:space="preserve">- With n=16 blocks, statistical power is low. Report effect sizes prominently.</w:t>
      </w:r>
    </w:p>
    <w:p>
      <w:pPr>
        <w:pStyle w:val="Normal"/>
      </w:pPr>
      <w:r>
        <w:t xml:space="preserve">- Descriptive analysis is the primary output; p-values are supplementary.</w:t>
      </w:r>
    </w:p>
    <w:p>
      <w:pPr>
        <w:pStyle w:val="Normal"/>
      </w:pPr>
      <w:r>
        <w:t xml:space="preserve">- All results are exploratory, not confirmatory.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References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Cliff, N. (1993). Ordinal methods for behavioral sciences. *Behav. Process.*</w:t>
      </w:r>
    </w:p>
    <w:p>
      <w:pPr>
        <w:pStyle w:val="Normal"/>
      </w:pPr>
      <w:r>
        <w:t xml:space="preserve">- Cliff, N. (1996). Dominance, real and artificial, in ordinal data. *J. Exp. Psychol.*</w:t>
      </w:r>
    </w:p>
    <w:p>
      <w:pPr>
        <w:pStyle w:val="Normal"/>
      </w:pPr>
      <w:r>
        <w:t xml:space="preserve">- Vargha, A. &amp; Delaney, H.D. (2000). A critique and improvement of the CL common language effect size statistics. *J. Educ. Behav. Stat.* 25(2): 101-133.</w:t>
      </w:r>
    </w:p>
    <w:p>
      <w:pPr>
        <w:pStyle w:val="Normal"/>
      </w:pPr>
      <w:r>
        <w:t xml:space="preserve">- Conover, W.J. (1999). *Practical Nonparametric Statistics* (3rd ed.). Wiley.</w:t>
      </w:r>
    </w:p>
    <w:p>
      <w:pPr>
        <w:pStyle w:val="Normal"/>
      </w:pPr>
      <w:r>
        <w:t xml:space="preserve">- Mann, H.B. &amp; Whitney, D.R. (1947). On a test of whether one of two random variables is stochastically larger than the other. *Ann. Math. Statist.* 18(1): 50-60.</w:t>
      </w:r>
    </w:p>
    <w:p>
      <w:pPr>
        <w:pStyle w:val="Normal"/>
      </w:pPr>
      <w:r>
        <w:t xml:space="preserve">- Wilcoxon, F. (1945). Individual comparisons by ranking methods. *Biometrics* 1(1): 86-89.</w:t>
      </w:r>
    </w:p>
    <w:p>
      <w:pPr>
        <w:pStyle w:val="Normal"/>
      </w:pPr>
      <w:r>
        <w:t xml:space="preserve">- Spearman, C. (1904). The proof and measurement of association between two things. *Am. J. Psychol.* 15(1): 72-85.</w:t>
      </w:r>
    </w:p>
    <w:p>
      <w:pPr>
        <w:pStyle w:val="Normal"/>
      </w:pPr>
      <w:r>
        <w:t xml:space="preserve">- Jonckheere, A. (1955). A class of non-parametric tests for "ordered" alternatives. *Biometrika* 42: 147-154.</w:t>
      </w:r>
    </w:p>
    <w:p>
      <w:pPr>
        <w:pStyle w:val="Normal"/>
      </w:pPr>
      <w:r>
        <w:t xml:space="preserve">- Terpstra, J.T. (1952). The asymptotic normality and the best non-parametric estimates of a monotone hypothesis. *Proc. Kon. Ned. Akad. Wetensch.* 55: 493-497.</w:t>
      </w:r>
    </w:p>
    <w:p>
      <w:pPr>
        <w:pStyle w:val="Normal"/>
      </w:pPr>
      <w:r>
        <w:t xml:space="preserve">- Dunn, O.J. (1964). Multiple comparisons among means. *J. Amer. Statist. Assoc.* 59(304): 52-64.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2026-09-10T16:32:10Z</dcterms:modified>
  <cp:category/>
</cp:coreProperties>
</file>