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43.png" ContentType="image/png"/>
  <Override PartName="/word/media/rId27.png" ContentType="image/png"/>
  <Override PartName="/word/media/rId35.png" ContentType="image/png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Urban Agriculture and Urban Food Security in Nigeria: A Spatial Statistics Perspective</w:t>
      </w:r>
    </w:p>
    <w:p>
      <w:pPr>
        <w:pStyle w:val="Subtitle"/>
      </w:pPr>
      <w:r>
        <w:t xml:space="preserve">Federal Polytechnic Kaltungo — 2nd Annual National Multidisciplinary Conference 2026 (Sub-theme 6: Climate-Smart Agriculture, Food Security and Rural Transformation; Secondary: 10 GIS &amp; Urban Planning, 13 Circular Economy &amp; Environmental Sustainability)</w:t>
      </w:r>
    </w:p>
    <w:p>
      <w:pPr>
        <w:pStyle w:val="Author"/>
      </w:pPr>
      <w:r>
        <w:t xml:space="preserve">Yohanna — batestguy (presenting author)</w:t>
      </w:r>
    </w:p>
    <w:p>
      <w:pPr>
        <w:pStyle w:val="Date"/>
      </w:pPr>
      <w:r>
        <w:t xml:space="preserve">26 August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w:t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Urban agriculture in Nigerian cities — from dry-season fadama along riverbeds to rooftop and peri-urban allotments — is increasingly framed as a climate-smart lever for food security and community resilience</w:t>
      </w:r>
      <w:r>
        <w:t xml:space="preserve"> </w:t>
      </w:r>
      <w:r>
        <w:t xml:space="preserve">(</w:t>
      </w:r>
      <w:r>
        <w:t xml:space="preserve">Orhevba et al.</w:t>
      </w:r>
      <w:r>
        <w:t xml:space="preserve"> </w:t>
      </w:r>
      <w:r>
        <w:t xml:space="preserve">2024; FAO 2024; Abubakar and Dano 2023)</w:t>
      </w:r>
      <w:r>
        <w:t xml:space="preserve">. Nigerian urbanisation (146.5 million urban residents in 2024</w:t>
      </w:r>
      <w:r>
        <w:t xml:space="preserve"> </w:t>
      </w:r>
      <w:r>
        <w:t xml:space="preserve">(World Bank 2024)</w:t>
      </w:r>
      <w:r>
        <w:t xml:space="preserve">) outpaces formal food-system planning, making locally-mapped production capacity a policy need</w:t>
      </w:r>
      <w:r>
        <w:t xml:space="preserve"> </w:t>
      </w:r>
      <w:r>
        <w:t xml:space="preserve">(</w:t>
      </w:r>
      <w:r>
        <w:t xml:space="preserve">Udoh et al.</w:t>
      </w:r>
      <w:r>
        <w:t xml:space="preserve"> </w:t>
      </w:r>
      <w:r>
        <w:t xml:space="preserve">2022;</w:t>
      </w:r>
      <w:r>
        <w:t xml:space="preserve"> </w:t>
      </w:r>
      <w:r>
        <w:t xml:space="preserve">Frayne et al.</w:t>
      </w:r>
      <w:r>
        <w:t xml:space="preserve"> </w:t>
      </w:r>
      <w:r>
        <w:t xml:space="preserve">2014)</w:t>
      </w:r>
      <w:r>
        <w:t xml:space="preserve">. Yet the evidence remains fragmented and rarely spatialised</w:t>
      </w:r>
      <w:r>
        <w:t xml:space="preserve"> </w:t>
      </w:r>
      <w:r>
        <w:t xml:space="preserve">(Aubry and Kebir 2012; Zezza and Tasciotti 2010)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Contribution:</w:t>
      </w:r>
      <w:r>
        <w:t xml:space="preserve"> </w:t>
      </w:r>
      <w:r>
        <w:t xml:space="preserve">This paper (i) freezes verifiable, API-sourced footprints of urban agriculture (OSM Overpass) and food-security indicators (World Bank/FAO/NASA POWER)</w:t>
      </w:r>
      <w:r>
        <w:t xml:space="preserve"> </w:t>
      </w:r>
      <w:r>
        <w:t xml:space="preserve">(OpenStreetMap contributors 2024; World Bank 2024; NASA 2024)</w:t>
      </w:r>
      <w:r>
        <w:t xml:space="preserve">, (ii) applies spatial autocorrelation and spatial regression (</w:t>
      </w:r>
      <w:r>
        <w:rPr>
          <w:rStyle w:val="VerbatimChar"/>
        </w:rPr>
        <w:t xml:space="preserve">sf</w:t>
      </w:r>
      <w:r>
        <w:t xml:space="preserve">/</w:t>
      </w:r>
      <w:r>
        <w:rPr>
          <w:rStyle w:val="VerbatimChar"/>
        </w:rPr>
        <w:t xml:space="preserve">spdep</w:t>
      </w:r>
      <w:r>
        <w:t xml:space="preserve">/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in R 4.5.2)</w:t>
      </w:r>
      <w:r>
        <w:t xml:space="preserve"> </w:t>
      </w:r>
      <w:r>
        <w:t xml:space="preserve">(Pebesma 2018; Bivand and Wong 2022; Anselin 1995; Moran 1950)</w:t>
      </w:r>
      <w:r>
        <w:t xml:space="preserve">, and (iii) maps suitability for scaling</w:t>
      </w:r>
      <w:r>
        <w:t xml:space="preserve"> </w:t>
      </w:r>
      <w:r>
        <w:t xml:space="preserve">(Hijmans 2022)</w:t>
      </w:r>
      <w:r>
        <w:t xml:space="preserve">.</w:t>
      </w:r>
    </w:p>
    <w:bookmarkEnd w:id="9"/>
    <w:bookmarkStart w:id="12" w:name="study-area-and-data"/>
    <w:p>
      <w:pPr>
        <w:pStyle w:val="Heading1"/>
      </w:pPr>
      <w:r>
        <w:t xml:space="preserve">2. Study Area and Data</w:t>
      </w:r>
    </w:p>
    <w:bookmarkStart w:id="10" w:name="study-area"/>
    <w:p>
      <w:pPr>
        <w:pStyle w:val="Heading2"/>
      </w:pPr>
      <w:r>
        <w:t xml:space="preserve">2.1 Study Area</w:t>
      </w:r>
    </w:p>
    <w:p>
      <w:pPr>
        <w:pStyle w:val="FirstParagraph"/>
      </w:pPr>
      <w:r>
        <w:t xml:space="preserve">Five cities stratified by agro-ecological and urban-form variation: Abuja (planned capital), Lagos (coastal megacity), Kano (Sahelian), Port Harcourt (Niger Delta), Gombe (savanna, host region).</w:t>
      </w:r>
    </w:p>
    <w:bookmarkEnd w:id="10"/>
    <w:bookmarkStart w:id="11" w:name="X72b4293a7efb7d4fc756eb73b3fc22e251f857f"/>
    <w:p>
      <w:pPr>
        <w:pStyle w:val="Heading2"/>
      </w:pPr>
      <w:r>
        <w:t xml:space="preserve">2.2 Data (frozen via APIs, provenance in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Layer retained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 agriculture footprints</w:t>
            </w:r>
          </w:p>
        </w:tc>
        <w:tc>
          <w:tcPr/>
          <w:p>
            <w:pPr>
              <w:pStyle w:val="Compact"/>
            </w:pPr>
            <w:r>
              <w:t xml:space="preserve">OSM Overpass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https://overpass-api.de/api/interpreter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landuse=allotments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farmland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farmyard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leisure=garden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 population / food indices</w:t>
            </w:r>
          </w:p>
        </w:tc>
        <w:tc>
          <w:tcPr/>
          <w:p>
            <w:pPr>
              <w:pStyle w:val="Compact"/>
            </w:pPr>
            <w:r>
              <w:t xml:space="preserve">World Bank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https://api.worldbank.org/v2/...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SP.URB.TOTL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AG.PRD.FOOD.XD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Climate</w:t>
            </w:r>
          </w:p>
        </w:tc>
        <w:tc>
          <w:tcPr/>
          <w:p>
            <w:pPr>
              <w:pStyle w:val="Compact"/>
            </w:pPr>
            <w:r>
              <w:t xml:space="preserve">NASA POWER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https://power.larc.nasa.gov/api/temporal/daily/point</w:t>
            </w:r>
          </w:p>
        </w:tc>
        <w:tc>
          <w:tcPr/>
          <w:p>
            <w:pPr>
              <w:pStyle w:val="Compact"/>
            </w:pPr>
            <w:r>
              <w:t xml:space="preserve">Precipitation, T2M, RH2M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Boundaries</w:t>
            </w:r>
          </w:p>
        </w:tc>
        <w:tc>
          <w:tcPr/>
          <w:p>
            <w:pPr>
              <w:pStyle w:val="Compact"/>
            </w:pPr>
            <w:r>
              <w:t xml:space="preserve">GADM/HDX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State/LGA polygons</w:t>
            </w:r>
          </w:p>
        </w:tc>
      </w:tr>
    </w:tbl>
    <w:p>
      <w:pPr>
        <w:pStyle w:val="BodyText"/>
      </w:pPr>
      <w:r>
        <w:t xml:space="preserve">All pulls are one-time and frozen to</w:t>
      </w:r>
      <w:r>
        <w:t xml:space="preserve"> </w:t>
      </w:r>
      <w:r>
        <w:rPr>
          <w:rStyle w:val="VerbatimChar"/>
        </w:rPr>
        <w:t xml:space="preserve">data/raw/*.csv</w:t>
      </w:r>
      <w:r>
        <w:t xml:space="preserve">. Analysis reads only the frozen CSVs.</w:t>
      </w:r>
    </w:p>
    <w:bookmarkEnd w:id="11"/>
    <w:bookmarkEnd w:id="12"/>
    <w:bookmarkStart w:id="18" w:name="methods"/>
    <w:p>
      <w:pPr>
        <w:pStyle w:val="Heading1"/>
      </w:pPr>
      <w:r>
        <w:t xml:space="preserve">3. Methods</w:t>
      </w:r>
    </w:p>
    <w:bookmarkStart w:id="13" w:name="design-and-hypotheses"/>
    <w:p>
      <w:pPr>
        <w:pStyle w:val="Heading2"/>
      </w:pPr>
      <w:r>
        <w:t xml:space="preserve">3.1 Design and hypotheses</w:t>
      </w:r>
    </w:p>
    <w:p>
      <w:pPr>
        <w:pStyle w:val="FirstParagraph"/>
      </w:pPr>
      <w:r>
        <w:t xml:space="preserve">Non-experimental spatial-observational design</w:t>
      </w:r>
      <w:r>
        <w:t xml:space="preserve"> </w:t>
      </w:r>
      <w:r>
        <w:t xml:space="preserve">(Bivand et al. 2023; Pebesma and Bivand 2023)</w:t>
      </w:r>
      <w:r>
        <w:t xml:space="preserve">. Three pre-registered hypotheses motivated by Nigeria’s agro-ecological gradient</w:t>
      </w:r>
      <w:r>
        <w:t xml:space="preserve"> </w:t>
      </w:r>
      <w:r>
        <w:t xml:space="preserve">(</w:t>
      </w:r>
      <w:r>
        <w:t xml:space="preserve">Muhammed et al.</w:t>
      </w:r>
      <w:r>
        <w:t xml:space="preserve"> </w:t>
      </w:r>
      <w:r>
        <w:t xml:space="preserve">2022;</w:t>
      </w:r>
      <w:r>
        <w:t xml:space="preserve"> </w:t>
      </w:r>
      <w:r>
        <w:t xml:space="preserve">Arowolo et al.</w:t>
      </w:r>
      <w:r>
        <w:t xml:space="preserve"> </w:t>
      </w:r>
      <w:r>
        <w:t xml:space="preserve">2023;</w:t>
      </w:r>
      <w:r>
        <w:t xml:space="preserve"> </w:t>
      </w:r>
      <w:r>
        <w:t xml:space="preserve">Ogundele et al.</w:t>
      </w:r>
      <w:r>
        <w:t xml:space="preserve"> </w:t>
      </w:r>
      <w:r>
        <w:t xml:space="preserve">2023)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 (clustering):</w:t>
      </w:r>
      <w:r>
        <w:t xml:space="preserve"> </w:t>
      </w:r>
      <w:r>
        <w:t xml:space="preserve">Urban-agriculture density is spatially clustered (Moran’s I &gt; 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 (aridity):</w:t>
      </w:r>
      <w:r>
        <w:t xml:space="preserve"> </w:t>
      </w:r>
      <w:r>
        <w:t xml:space="preserve">Density is higher in hotter, drier LGAs (lower PRECTOT, higher T2M) where fadama irrigation is most valuable.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H3 (scale):</w:t>
      </w:r>
      <w:r>
        <w:t xml:space="preserve"> </w:t>
      </w:r>
      <w:r>
        <w:t xml:space="preserve">Density decreases with LGA area (larger LGAs dilute point intensity).</w:t>
      </w:r>
    </w:p>
    <w:bookmarkEnd w:id="13"/>
    <w:bookmarkStart w:id="14" w:name="spatial-descriptive"/>
    <w:p>
      <w:pPr>
        <w:pStyle w:val="Heading2"/>
      </w:pPr>
      <w:r>
        <w:t xml:space="preserve">3.2 Spatial descriptive</w:t>
      </w:r>
    </w:p>
    <w:p>
      <w:pPr>
        <w:pStyle w:val="FirstParagraph"/>
      </w:pPr>
      <w:r>
        <w:t xml:space="preserve">Density = allotments km⁻² =</w:t>
      </w:r>
      <w:r>
        <w:t xml:space="preserve"> </w:t>
      </w:r>
      <w:r>
        <w:rPr>
          <w:rStyle w:val="VerbatimChar"/>
        </w:rPr>
        <w:t xml:space="preserve">n / area_km²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area_km² = st_area(LGA)/10⁶</w:t>
      </w:r>
      <w:r>
        <w:t xml:space="preserve"> </w:t>
      </w:r>
      <w:r>
        <w:t xml:space="preserve">(</w:t>
      </w:r>
      <w:r>
        <w:rPr>
          <w:rStyle w:val="VerbatimChar"/>
        </w:rPr>
        <w:t xml:space="preserve">sf</w:t>
      </w:r>
      <w:r>
        <w:t xml:space="preserve"> </w:t>
      </w:r>
      <w:r>
        <w:t xml:space="preserve">GEOS). Kernel density and nearest-neighbour are noted but not mapped to save pages.</w:t>
      </w:r>
    </w:p>
    <w:bookmarkEnd w:id="14"/>
    <w:bookmarkStart w:id="15" w:name="spatial-dependence-formal-tests"/>
    <w:p>
      <w:pPr>
        <w:pStyle w:val="Heading2"/>
      </w:pPr>
      <w:r>
        <w:t xml:space="preserve">3.3 Spatial dependence — formal tests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density (or counts)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775</m:t>
        </m:r>
      </m:oMath>
      <w:r>
        <w:t xml:space="preserve"> </w:t>
      </w:r>
      <w:r>
        <w:t xml:space="preserve">LGAs,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its mean,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the queen contiguity matrix row-standardised.</w:t>
      </w:r>
    </w:p>
    <w:p>
      <w:pPr>
        <w:pStyle w:val="BodyText"/>
      </w:pPr>
      <w:r>
        <w:rPr>
          <w:b/>
          <w:bCs/>
        </w:rPr>
        <w:t xml:space="preserve">Weight matrix: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LGAs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share edge or vertex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/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Global Moran’s I</w:t>
      </w:r>
      <w:r>
        <w:t xml:space="preserve"> </w:t>
      </w:r>
      <w:r>
        <w:t xml:space="preserve">(Moran 1950; Cliff and Ord 1981)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W</m:t>
              </m:r>
            </m:den>
          </m:f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</m:e>
                  </m:nary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E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I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Var</m:t>
                  </m:r>
                  <m:r>
                    <m:rPr>
                      <m:sty m:val="p"/>
                    </m:rPr>
                    <m:t>[</m:t>
                  </m:r>
                  <m:r>
                    <m:t>I</m:t>
                  </m:r>
                  <m:r>
                    <m:rPr>
                      <m:sty m:val="p"/>
                    </m:rPr>
                    <m:t>]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Tested with</w:t>
      </w:r>
      <w:r>
        <w:t xml:space="preserve"> </w:t>
      </w:r>
      <w:r>
        <w:rPr>
          <w:rStyle w:val="VerbatimChar"/>
        </w:rPr>
        <w:t xml:space="preserve">spdep::moran.test</w:t>
      </w:r>
      <w:r>
        <w:t xml:space="preserve"> </w:t>
      </w:r>
      <w:r>
        <w:t xml:space="preserve">(randomisation,</w:t>
      </w:r>
      <w:r>
        <w:t xml:space="preserve"> </w:t>
      </w:r>
      <w:r>
        <w:rPr>
          <w:rStyle w:val="VerbatimChar"/>
        </w:rPr>
        <w:t xml:space="preserve">zero.policy=TRUE</w:t>
      </w:r>
      <w:r>
        <w:t xml:space="preserve">) and variance under randomisation. Rejection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implies clustering beyond CSR and motivates spatial regression</w:t>
      </w:r>
      <w:r>
        <w:t xml:space="preserve"> </w:t>
      </w:r>
      <w:r>
        <w:t xml:space="preserve">(Anselin 1995; Bivand and Wong 2022)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LISA</w:t>
      </w:r>
      <w:r>
        <w:t xml:space="preserve"> </w:t>
      </w:r>
      <w:r>
        <w:t xml:space="preserve">(Local Moran):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</w:rPr>
        <w:t xml:space="preserve">spdep::localmoran</w:t>
      </w:r>
      <w:r>
        <w:t xml:space="preserve"> </w:t>
      </w:r>
      <w:r>
        <w:t xml:space="preserve">yields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; quadrants HH/LL/HL/LH are classified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lag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acc>
          <m:accPr>
            <m:chr m:val="‾"/>
          </m:accPr>
          <m:e>
            <m:r>
              <m:rPr>
                <m:nor/>
                <m:sty m:val="p"/>
              </m:rPr>
              <m:t>lag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etc. only when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bookmarkEnd w:id="15"/>
    <w:bookmarkStart w:id="16" w:name="spatial-regression"/>
    <w:p>
      <w:pPr>
        <w:pStyle w:val="Heading2"/>
      </w:pPr>
      <w:r>
        <w:t xml:space="preserve">3.4 Spatial regression</w:t>
      </w:r>
    </w:p>
    <w:p>
      <w:pPr>
        <w:pStyle w:val="FirstParagraph"/>
      </w:pPr>
      <w:r>
        <w:t xml:space="preserve">Conditional on H1, OLS is biased. We plan lag and error models (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</w:t>
      </w:r>
      <w:r>
        <w:t xml:space="preserve"> </w:t>
      </w:r>
      <w:r>
        <w:t xml:space="preserve">(Bivand et al. 2023)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ρ</m:t>
          </m:r>
          <m:r>
            <m:rPr>
              <m:sty m:val="b"/>
            </m:rPr>
            <m:t>W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t>β</m:t>
          </m:r>
          <m:r>
            <m:rPr>
              <m:sty m:val="p"/>
            </m:rPr>
            <m:t>+</m:t>
          </m:r>
          <m:r>
            <m:t>ε</m:t>
          </m:r>
          <m:r>
            <m:t>  </m:t>
          </m:r>
          <m:r>
            <m:rPr>
              <m:nor/>
              <m:sty m:val="p"/>
            </m:rPr>
            <m:t>(lag; captures spillover)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β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,</m:t>
          </m:r>
          <m:r>
            <m:t> </m:t>
          </m:r>
          <m:r>
            <m:t>u</m:t>
          </m:r>
          <m:r>
            <m:rPr>
              <m:sty m:val="p"/>
            </m:rPr>
            <m:t>=</m:t>
          </m:r>
          <m:r>
            <m:t>λ</m:t>
          </m:r>
          <m:r>
            <m:rPr>
              <m:sty m:val="b"/>
            </m:rPr>
            <m:t>W</m:t>
          </m:r>
          <m:r>
            <m:t>u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,</m:t>
          </m:r>
          <m:r>
            <m:t> </m:t>
          </m:r>
          <m:r>
            <m:t>ε</m:t>
          </m:r>
          <m:r>
            <m:rPr>
              <m:sty m:val="p"/>
            </m:rPr>
            <m:t>∼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I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(error; captures omitted spatial covariates)</m:t>
          </m:r>
        </m:oMath>
      </m:oMathPara>
    </w:p>
    <w:p>
      <w:pPr>
        <w:pStyle w:val="FirstParagraph"/>
      </w:pPr>
      <w:r>
        <w:t xml:space="preserve">Proposed:</w:t>
      </w:r>
      <w:r>
        <w:t xml:space="preserve"> </w:t>
      </w:r>
      <w:r>
        <w:rPr>
          <w:rStyle w:val="VerbatimChar"/>
        </w:rPr>
        <w:t xml:space="preserve">density ~ log(area_km2) + PRECTOT_sum + T2M_mean</w:t>
      </w:r>
      <w:r>
        <w:t xml:space="preserve"> </w:t>
      </w:r>
      <w:r>
        <w:t xml:space="preserve">(city-level climate as LGA proxy until DHS/NLSS subnational undernourishment is joined). Selection by AIC, LR test, and Lagrange Multiplier</w:t>
      </w:r>
      <w:r>
        <w:t xml:space="preserve"> </w:t>
      </w:r>
      <m:oMath>
        <m:r>
          <m:t>L</m:t>
        </m:r>
        <m:sSub>
          <m:e>
            <m:r>
              <m:t>M</m:t>
            </m:r>
          </m:e>
          <m:sub>
            <m:r>
              <m:t>l</m:t>
            </m:r>
            <m:r>
              <m:t>a</m:t>
            </m:r>
            <m:r>
              <m:t>g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t>L</m:t>
        </m:r>
        <m:sSub>
          <m:e>
            <m:r>
              <m:t>M</m:t>
            </m:r>
          </m:e>
          <m:sub>
            <m:r>
              <m:t>e</m:t>
            </m:r>
            <m:r>
              <m:t>r</m:t>
            </m:r>
            <m:r>
              <m:t>r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and robust</w:t>
      </w:r>
      <w:r>
        <w:t xml:space="preserve"> </w:t>
      </w:r>
      <m:oMath>
        <m:r>
          <m:t>R</m:t>
        </m:r>
        <m:r>
          <m:t>L</m:t>
        </m:r>
        <m:r>
          <m:t>M</m:t>
        </m:r>
      </m:oMath>
      <w:r>
        <w:t xml:space="preserve">.</w:t>
      </w:r>
    </w:p>
    <w:bookmarkEnd w:id="16"/>
    <w:bookmarkStart w:id="17" w:name="suitability-overlay"/>
    <w:p>
      <w:pPr>
        <w:pStyle w:val="Heading2"/>
      </w:pPr>
      <w:r>
        <w:t xml:space="preserve">3.5 Suitability overlay</w:t>
      </w:r>
    </w:p>
    <w:p>
      <w:pPr>
        <w:pStyle w:val="FirstParagraph"/>
      </w:pPr>
      <w:r>
        <w:rPr>
          <w:rStyle w:val="VerbatimChar"/>
        </w:rPr>
        <w:t xml:space="preserve">terra</w:t>
      </w:r>
      <w:r>
        <w:t xml:space="preserve"> </w:t>
      </w:r>
      <w:r>
        <w:t xml:space="preserve">1.7 weighted overlay</w:t>
      </w:r>
      <w:r>
        <w:t xml:space="preserve"> </w:t>
      </w:r>
      <w:r>
        <w:t xml:space="preserve">(Hijmans 2023; Anand and Bhat 2021)</w:t>
      </w:r>
      <w:r>
        <w:t xml:space="preserve">: proximity to markets, water, land availability — staged as future work (1 paragraph) to stay within 12 pp.</w:t>
      </w:r>
    </w:p>
    <w:p>
      <w:pPr>
        <w:pStyle w:val="BodyText"/>
      </w:pPr>
      <w:r>
        <w:rPr>
          <w:i/>
          <w:iCs/>
        </w:rPr>
        <w:t xml:space="preserve">Environment:</w:t>
      </w:r>
      <w:r>
        <w:t xml:space="preserve"> </w:t>
      </w:r>
      <w:r>
        <w:t xml:space="preserve">R 4.5.2 (</w:t>
      </w:r>
      <w:r>
        <w:rPr>
          <w:rStyle w:val="VerbatimChar"/>
        </w:rPr>
        <w:t xml:space="preserve">sf 1.1.2</w:t>
      </w:r>
      <w:r>
        <w:t xml:space="preserve"> </w:t>
      </w:r>
      <w:r>
        <w:t xml:space="preserve">GEOS 3.14.1/GDAL 3.12.1/PROJ 9.7.1,</w:t>
      </w:r>
      <w:r>
        <w:t xml:space="preserve"> </w:t>
      </w:r>
      <w:r>
        <w:rPr>
          <w:rStyle w:val="VerbatimChar"/>
        </w:rPr>
        <w:t xml:space="preserve">terra 1.9.46</w:t>
      </w:r>
      <w:r>
        <w:t xml:space="preserve">,</w:t>
      </w:r>
      <w:r>
        <w:t xml:space="preserve"> </w:t>
      </w:r>
      <w:r>
        <w:rPr>
          <w:rStyle w:val="VerbatimChar"/>
        </w:rPr>
        <w:t xml:space="preserve">spdep 1.4.2</w:t>
      </w:r>
      <w:r>
        <w:t xml:space="preserve">,</w:t>
      </w:r>
      <w:r>
        <w:t xml:space="preserve"> </w:t>
      </w:r>
      <w:r>
        <w:rPr>
          <w:rStyle w:val="VerbatimChar"/>
        </w:rPr>
        <w:t xml:space="preserve">spatialreg 1.4.3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 1.2.1</w:t>
      </w:r>
      <w:r>
        <w:t xml:space="preserve">); Python</w:t>
      </w:r>
      <w:r>
        <w:t xml:space="preserve"> </w:t>
      </w:r>
      <w:r>
        <w:rPr>
          <w:rStyle w:val="VerbatimChar"/>
        </w:rPr>
        <w:t xml:space="preserve">ds-general</w:t>
      </w:r>
      <w:r>
        <w:t xml:space="preserve"> </w:t>
      </w:r>
      <w:r>
        <w:t xml:space="preserve">3.12 for API harvest. See</w:t>
      </w:r>
      <w:r>
        <w:t xml:space="preserve"> </w:t>
      </w:r>
      <w:r>
        <w:rPr>
          <w:rStyle w:val="VerbatimChar"/>
        </w:rPr>
        <w:t xml:space="preserve">ENVIRONMENTS.md</w:t>
      </w:r>
      <w:r>
        <w:t xml:space="preserve">. All random seeds set;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16 entries.</w:t>
      </w:r>
    </w:p>
    <w:bookmarkEnd w:id="17"/>
    <w:bookmarkEnd w:id="18"/>
    <w:bookmarkStart w:id="49" w:name="results"/>
    <w:p>
      <w:pPr>
        <w:pStyle w:val="Heading1"/>
      </w:pPr>
      <w:r>
        <w:t xml:space="preserve">4. Results</w:t>
      </w:r>
    </w:p>
    <w:bookmarkStart w:id="31" w:name="X347cef842ef5ce1af5f6de2f0b207d89c3da5bf"/>
    <w:p>
      <w:pPr>
        <w:pStyle w:val="Heading2"/>
      </w:pPr>
      <w:r>
        <w:t xml:space="preserve">4.1 Urban agriculture footprints (OSM Overpass, frozen 25 Aug 2026)</w:t>
      </w:r>
    </w:p>
    <w:p>
      <w:pPr>
        <w:pStyle w:val="FirstParagraph"/>
      </w:pPr>
      <w:r>
        <w:t xml:space="preserve">484 verifiable footprints were retrieved via per-tag Overpass queries (</w:t>
      </w:r>
      <w:r>
        <w:rPr>
          <w:rStyle w:val="VerbatimChar"/>
        </w:rPr>
        <w:t xml:space="preserve">landuse=allotments/farmland/farmyard</w:t>
      </w:r>
      <w:r>
        <w:t xml:space="preserve">,</w:t>
      </w:r>
      <w:r>
        <w:t xml:space="preserve"> </w:t>
      </w:r>
      <w:r>
        <w:rPr>
          <w:rStyle w:val="VerbatimChar"/>
        </w:rPr>
        <w:t xml:space="preserve">leisure=garden</w:t>
      </w:r>
      <w:r>
        <w:t xml:space="preserve">; deduped by</w:t>
      </w:r>
      <w:r>
        <w:t xml:space="preserve"> </w:t>
      </w:r>
      <w:r>
        <w:rPr>
          <w:rStyle w:val="VerbatimChar"/>
        </w:rPr>
        <w:t xml:space="preserve">type+id</w:t>
      </w:r>
      <w:r>
        <w:t xml:space="preserve">; provenance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 </w:t>
      </w:r>
      <w:r>
        <w:t xml:space="preserve">ODbL). City totals: Kano 189 (39.0%), Lagos 130 (26.9%), Port Harcourt 88 (18.2%), Gombe 45 (9.3%), Abuja 32 (6.6%). At LGA level (GADM 4.1, 775 LGAs), only</w:t>
      </w:r>
      <w:r>
        <w:t xml:space="preserve"> </w:t>
      </w:r>
      <w:r>
        <w:rPr>
          <w:b/>
          <w:bCs/>
        </w:rPr>
        <w:t xml:space="preserve">39 LGAs (5.0%)</w:t>
      </w:r>
      <w:r>
        <w:t xml:space="preserve"> </w:t>
      </w:r>
      <w:r>
        <w:t xml:space="preserve">contain ≥1 point; the distribution is highly concentrated: Ungogo (Kano) 90, Obio/Akpor (Rivers) 64, Ikorodu (Lagos) 53, Akko (Gombe) 45, Tarauni 25, Ikwerre 22, Gezawa 20. Maximum density is</w:t>
      </w:r>
      <w:r>
        <w:t xml:space="preserve"> </w:t>
      </w:r>
      <w:r>
        <w:rPr>
          <w:b/>
          <w:bCs/>
        </w:rPr>
        <w:t xml:space="preserve">1.06 points km⁻²</w:t>
      </w:r>
      <w:r>
        <w:t xml:space="preserve"> </w:t>
      </w:r>
      <w:r>
        <w:t xml:space="preserve">(Ungogo). Completeness varies by city (Kano highest, Abuja lowest) — documented as a limitation warranting density normalisation.</w:t>
      </w:r>
    </w:p>
    <w:p>
      <w:pPr>
        <w:pStyle w:val="BodyText"/>
      </w:pPr>
      <w:r>
        <w:rPr>
          <w:b/>
          <w:bCs/>
        </w:rPr>
        <w:t xml:space="preserve">Table 1. OSM urban-agriculture points by city (frozen).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Top LGA 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39.0</w:t>
            </w:r>
          </w:p>
        </w:tc>
        <w:tc>
          <w:tcPr/>
          <w:p>
            <w:pPr>
              <w:pStyle w:val="Compact"/>
            </w:pPr>
            <w:r>
              <w:t xml:space="preserve">Ungogo 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Ikorodu 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Harcourt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Obio/Akpor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Akko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Abuja Municipal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 LGAs with ≥1 point (5.0%)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 OSM Overpass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data/raw/osm_urban_ag.csv</w:t>
      </w:r>
      <w:r>
        <w:rPr>
          <w:i/>
          <w:iCs/>
        </w:rPr>
        <w:t xml:space="preserve"> </w:t>
      </w:r>
      <w:r>
        <w:rPr>
          <w:i/>
          <w:iCs/>
        </w:rPr>
        <w:t xml:space="preserve">(484 rows), GADM 4.1 LGA join (</w:t>
      </w:r>
      <w:r>
        <w:rPr>
          <w:rStyle w:val="VerbatimChar"/>
          <w:i/>
          <w:iCs/>
        </w:rPr>
        <w:t xml:space="preserve">results/lga_lisa.gpkg</w:t>
      </w:r>
      <w:r>
        <w:rPr>
          <w:i/>
          <w:iCs/>
        </w:rP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osm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osm_points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Figure 1. Urban agriculture footprints mapped — 484 OSM allotment/farmland/garden points by city (Abuja 32, Lagos 130, Kano 189, Port Harcourt 88, Gombe 45).</w:t>
            </w:r>
          </w:p>
          <w:bookmarkEnd w:id="22"/>
        </w:tc>
      </w:tr>
    </w:tbl>
    <w:p>
      <w:pPr>
        <w:pStyle w:val="BodyText"/>
      </w:pPr>
      <w:r>
        <w:t xml:space="preserve">Figure 1 shows the 484 points coloured by city; Kano’s concentration in the Sahelian north is visually distinct.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lisa"/>
          <w:p>
            <w:pPr>
              <w:pStyle w:val="Compact"/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lisa_ma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Figure 2. LISA cluster map — urban agriculture density (points km⁻²) per LGA, GADM 4.1 775 LGAs, queen contiguity, p&lt;0.05. HH (red) = high-high, LL (blue) = low-low, HL/LH outliers, grey = n.s.</w:t>
            </w:r>
          </w:p>
          <w:bookmarkEnd w:id="26"/>
        </w:tc>
      </w:tr>
    </w:tbl>
    <w:p>
      <w:pPr>
        <w:pStyle w:val="BodyText"/>
      </w:pPr>
      <w:r>
        <w:t xml:space="preserve">Figure 2 is the LISA density choropleth. High-high clusters centre on Kano metropolis (Ungogo, Tarauni, Kumbotso ring) and Obio/Akpor (Port Harcourt); low-low surrounds span the sparsely-mapped central savanna. HL/LH outliers are rare (&lt;10 LGAs).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hist"/>
          <w:p>
            <w:pPr>
              <w:pStyle w:val="Compact"/>
              <w:jc w:val="center"/>
            </w:pPr>
            <w:r>
              <w:drawing>
                <wp:inline>
                  <wp:extent cx="5029200" cy="2873828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ensity_his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28738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Figure 3. Distribution of urban agriculture density per LGA — highly zero-inflated (median 0, mean 0.62 points/LGA, 39 LGAs 5% with &gt;0 points; max 1.06 km⁻²).</w:t>
            </w:r>
          </w:p>
          <w:bookmarkEnd w:id="30"/>
        </w:tc>
      </w:tr>
    </w:tbl>
    <w:p>
      <w:pPr>
        <w:pStyle w:val="BodyText"/>
      </w:pPr>
      <w:r>
        <w:t xml:space="preserve">Figure 3 confirms zero-inflation; density normalisation by</w:t>
      </w:r>
      <w:r>
        <w:t xml:space="preserve"> </w:t>
      </w:r>
      <w:r>
        <w:rPr>
          <w:rStyle w:val="VerbatimChar"/>
        </w:rPr>
        <w:t xml:space="preserve">st_area</w:t>
      </w:r>
      <w:r>
        <w:t xml:space="preserve"> </w:t>
      </w:r>
      <w:r>
        <w:t xml:space="preserve">is therefore essential before spatial regression.</w:t>
      </w:r>
    </w:p>
    <w:bookmarkEnd w:id="31"/>
    <w:bookmarkStart w:id="32" w:name="climate-context-nasa-power-2023-daily"/>
    <w:p>
      <w:pPr>
        <w:pStyle w:val="Heading2"/>
      </w:pPr>
      <w:r>
        <w:t xml:space="preserve">4.2 Climate context (NASA POWER, 2023 daily)</w:t>
      </w:r>
    </w:p>
    <w:p>
      <w:pPr>
        <w:pStyle w:val="FirstParagraph"/>
      </w:pPr>
      <w:r>
        <w:t xml:space="preserve">Annual means (T2M), totals (PRECTOTCORR) and RH2M demonstrate agro-ecological contrast retained for covariate use in spatial regression (Table 2).</w:t>
      </w:r>
    </w:p>
    <w:p>
      <w:pPr>
        <w:pStyle w:val="BodyText"/>
      </w:pPr>
      <w:r>
        <w:rPr>
          <w:b/>
          <w:bCs/>
        </w:rPr>
        <w:t xml:space="preserve">Table 2. NASA POWER 2023 annual climate by city (</w:t>
      </w:r>
      <w:r>
        <w:rPr>
          <w:rStyle w:val="VerbatimChar"/>
          <w:b/>
          <w:bCs/>
        </w:rPr>
        <w:t xml:space="preserve">data/processed/nasa_annual.csv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T2M mean (°C)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PRECTOT sum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RH2M mean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Harcourt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87.7</w:t>
            </w:r>
          </w:p>
        </w:tc>
      </w:tr>
    </w:tbl>
    <w:bookmarkEnd w:id="32"/>
    <w:bookmarkStart w:id="33" w:name="X144387b328a91905e766ccc557753a295d1a880"/>
    <w:p>
      <w:pPr>
        <w:pStyle w:val="Heading2"/>
      </w:pPr>
      <w:r>
        <w:t xml:space="preserve">4.3 World Bank national backdrop (frozen 25 Aug 2026)</w:t>
      </w:r>
    </w:p>
    <w:p>
      <w:pPr>
        <w:pStyle w:val="FirstParagraph"/>
      </w:pPr>
      <w:r>
        <w:rPr>
          <w:rStyle w:val="VerbatimChar"/>
        </w:rPr>
        <w:t xml:space="preserve">SP.URB.TOTL</w:t>
      </w:r>
      <w:r>
        <w:t xml:space="preserve"> </w:t>
      </w:r>
      <w:r>
        <w:t xml:space="preserve">(urban population) 2024:</w:t>
      </w:r>
      <w:r>
        <w:t xml:space="preserve"> </w:t>
      </w:r>
      <w:r>
        <w:rPr>
          <w:b/>
          <w:bCs/>
        </w:rPr>
        <w:t xml:space="preserve">146,531,222</w:t>
      </w:r>
      <w:r>
        <w:t xml:space="preserve">;</w:t>
      </w:r>
      <w:r>
        <w:t xml:space="preserve"> </w:t>
      </w:r>
      <w:r>
        <w:rPr>
          <w:rStyle w:val="VerbatimChar"/>
        </w:rPr>
        <w:t xml:space="preserve">AG.PRD.FOOD.XD</w:t>
      </w:r>
      <w:r>
        <w:t xml:space="preserve"> </w:t>
      </w:r>
      <w:r>
        <w:t xml:space="preserve">(food production index) 2022:</w:t>
      </w:r>
      <w:r>
        <w:t xml:space="preserve"> </w:t>
      </w:r>
      <w:r>
        <w:rPr>
          <w:b/>
          <w:bCs/>
        </w:rPr>
        <w:t xml:space="preserve">119.9</w:t>
      </w:r>
      <w:r>
        <w:t xml:space="preserve"> </w:t>
      </w:r>
      <w:r>
        <w:t xml:space="preserve">(2004–06=100);</w:t>
      </w:r>
      <w:r>
        <w:t xml:space="preserve"> </w:t>
      </w:r>
      <w:r>
        <w:rPr>
          <w:rStyle w:val="VerbatimChar"/>
        </w:rPr>
        <w:t xml:space="preserve">SN.ITK.DEFC.ZS</w:t>
      </w:r>
      <w:r>
        <w:t xml:space="preserve"> </w:t>
      </w:r>
      <w:r>
        <w:t xml:space="preserve">(prevalence of undernourishment) 2023:</w:t>
      </w:r>
      <w:r>
        <w:t xml:space="preserve"> </w:t>
      </w:r>
      <w:r>
        <w:rPr>
          <w:b/>
          <w:bCs/>
        </w:rPr>
        <w:t xml:space="preserve">19.9%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data/processed/worldbank_ng_wide.csv</w:t>
      </w:r>
      <w:r>
        <w:t xml:space="preserve">, 75 rows, 2000–2024, CC BY 4.0). National series are used only as contextual covariates; LGA-level food-security will be proxied by DHS/NLSS in extensions.</w:t>
      </w:r>
    </w:p>
    <w:bookmarkEnd w:id="33"/>
    <w:bookmarkStart w:id="34" w:name="spatial-dependence"/>
    <w:p>
      <w:pPr>
        <w:pStyle w:val="Heading2"/>
      </w:pPr>
      <w:r>
        <w:t xml:space="preserve">4.4 Spatial dependence</w:t>
      </w:r>
    </w:p>
    <w:p>
      <w:pPr>
        <w:pStyle w:val="FirstParagraph"/>
      </w:pPr>
      <w:r>
        <w:t xml:space="preserve">Global Moran’s I was computed on queen-contiguity weights (</w:t>
      </w:r>
      <w:r>
        <w:rPr>
          <w:rStyle w:val="VerbatimChar"/>
        </w:rPr>
        <w:t xml:space="preserve">spdep::poly2nb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nb2listw</w:t>
      </w:r>
      <w:r>
        <w:t xml:space="preserve"> </w:t>
      </w:r>
      <w:r>
        <w:t xml:space="preserve">style W, zero.policy=TRUE) for 775 LGAs.</w:t>
      </w:r>
    </w:p>
    <w:p>
      <w:pPr>
        <w:pStyle w:val="BodyText"/>
      </w:pPr>
      <w:r>
        <w:rPr>
          <w:b/>
          <w:bCs/>
        </w:rPr>
        <w:t xml:space="preserve">Table 3. Global Moran’s I (775 LGAs, queen contiguity).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Moran 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(n km⁻²)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Density shows stronger clustering than raw counts, validating normalisation by</w:t>
      </w:r>
      <w:r>
        <w:t xml:space="preserve"> </w:t>
      </w:r>
      <w:r>
        <w:rPr>
          <w:rStyle w:val="VerbatimChar"/>
        </w:rPr>
        <w:t xml:space="preserve">st_area</w:t>
      </w:r>
      <w:r>
        <w:t xml:space="preserve">. Local Moran (LISA) on density yields HH clusters centred on Kano metropolis (Ungogo, Tarauni, Kumbotso ring) and Obio/Akpor (Rivers); LL clusters span the sparsely-mapped central savanna. HL/LH outliers are rare (&lt;10 LGAs). These maps justify spatial regression over OLS.</w:t>
      </w:r>
    </w:p>
    <w:bookmarkEnd w:id="34"/>
    <w:bookmarkStart w:id="47" w:name="new-density-vs-climate-and-scale-h2h3"/>
    <w:p>
      <w:pPr>
        <w:pStyle w:val="Heading2"/>
      </w:pPr>
      <w:r>
        <w:t xml:space="preserve">4.5 New: density vs climate and scale (H2–H3)</w:t>
      </w:r>
    </w:p>
    <w:p>
      <w:pPr>
        <w:pStyle w:val="FirstParagraph"/>
      </w:pPr>
      <w:r>
        <w:t xml:space="preserve">For the 39 LGAs with ≥1 point we assigned city-level NASA POWER climate via state (FCT→Abuja, Kano→Kano, Lagos→Lagos, Rivers→Port Harcourt, Gombe→Gombe; 34 LGAs mapped after filtering). Spearman tests (ties present, exact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approximate):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Density vs rainfall:</w:t>
      </w:r>
      <w:r>
        <w:t xml:space="preserve"> </w:t>
      </w:r>
      <m:oMath>
        <m:sSub>
          <m:e>
            <m:r>
              <m:t>ρ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0.076</m:t>
        </m:r>
      </m:oMath>
      <w:r>
        <w:t xml:space="preserve"> </w:t>
      </w:r>
      <w:r>
        <w:t xml:space="preserve">(negative, marginal) — drier LGAs tend to host higher density, consistent with H2 fadama value in low-rainfall Kano (404 mm vs 1,891 mm Port Harcourt)</w:t>
      </w:r>
      <w:r>
        <w:t xml:space="preserve"> </w:t>
      </w:r>
      <w:r>
        <w:t xml:space="preserve">(</w:t>
      </w:r>
      <w:r>
        <w:t xml:space="preserve">Arowolo et al.</w:t>
      </w:r>
      <w:r>
        <w:t xml:space="preserve"> </w:t>
      </w:r>
      <w:r>
        <w:t xml:space="preserve">2023;</w:t>
      </w:r>
      <w:r>
        <w:t xml:space="preserve"> </w:t>
      </w:r>
      <w:r>
        <w:t xml:space="preserve">Muhammed et al.</w:t>
      </w:r>
      <w:r>
        <w:t xml:space="preserve"> </w:t>
      </w:r>
      <w:r>
        <w:t xml:space="preserve">2022)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Density vs temperature:</w:t>
      </w:r>
      <w:r>
        <w:t xml:space="preserve"> </w:t>
      </w:r>
      <m:oMath>
        <m:sSub>
          <m:e>
            <m:r>
              <m:t>ρ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0.44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0.009</m:t>
        </m:r>
      </m:oMath>
      <w:r>
        <w:t xml:space="preserve"> </w:t>
      </w:r>
      <w:r>
        <w:t xml:space="preserve">— hotter LGAs (Kano 27.3°C) show higher density.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Density vs area:</w:t>
      </w:r>
      <w:r>
        <w:t xml:space="preserve"> </w:t>
      </w:r>
      <w:r>
        <w:t xml:space="preserve">Visual inspection shows Tarauni (23.6 km², 1.06 km⁻²) vs Ungogo (187 km², 0.48 km⁻²) — small urban LGAs concentrate points (H3).</w:t>
      </w:r>
    </w:p>
    <w:p>
      <w:pPr>
        <w:pStyle w:val="FirstParagraph"/>
      </w:pPr>
      <w:r>
        <w:t xml:space="preserve">Figures 4–5 illustrate these associations.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ensity_vs_rainfall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Figure 4. Density vs annual rainfall — 34 LGAs with ≥1 point (Spearman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0.31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0.076</m:t>
              </m:r>
            </m:oMath>
            <w:r>
              <w:t xml:space="preserve">). Colour by state; dashed = OLS fit. Higher density in drier Kano supports H2.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cor"/>
          <w:p>
            <w:pPr>
              <w:pStyle w:val="Compact"/>
              <w:jc w:val="center"/>
            </w:pPr>
            <w:r>
              <w:drawing>
                <wp:inline>
                  <wp:extent cx="4572000" cy="38100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climate_correlation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Figure 5. Spearman correlation matrix — density, PRECTOT_sum, T2M_mean, RH2M_mean (39 LGAs, ties).</w:t>
            </w:r>
          </w:p>
          <w:bookmarkEnd w:id="42"/>
        </w:tc>
      </w:tr>
    </w:tbl>
    <w:p>
      <w:pPr>
        <w:pStyle w:val="BodyText"/>
      </w:pPr>
      <w:r>
        <w:rPr>
          <w:b/>
          <w:bCs/>
        </w:rPr>
        <w:t xml:space="preserve">Table 4. Top-10 LGAs by density (km⁻²) — the high-intensity core (</w:t>
      </w:r>
      <w:r>
        <w:rPr>
          <w:rStyle w:val="VerbatimChar"/>
          <w:b/>
          <w:bCs/>
        </w:rPr>
        <w:t xml:space="preserve">results/top10_density.csv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GID_2</w:t>
            </w:r>
          </w:p>
        </w:tc>
        <w:tc>
          <w:tcPr/>
          <w:p>
            <w:pPr>
              <w:pStyle w:val="Compact"/>
            </w:pPr>
            <w:r>
              <w:t xml:space="preserve">LGA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area km²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NGA.20.38_1</w:t>
            </w:r>
          </w:p>
        </w:tc>
        <w:tc>
          <w:tcPr/>
          <w:p>
            <w:pPr>
              <w:pStyle w:val="Compact"/>
            </w:pPr>
            <w:r>
              <w:t xml:space="preserve">Tarauni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NGA.25.19_1</w:t>
            </w:r>
          </w:p>
        </w:tc>
        <w:tc>
          <w:tcPr/>
          <w:p>
            <w:pPr>
              <w:pStyle w:val="Compact"/>
            </w:pPr>
            <w:r>
              <w:t xml:space="preserve">Shomolu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NGA.20.42_1</w:t>
            </w:r>
          </w:p>
        </w:tc>
        <w:tc>
          <w:tcPr/>
          <w:p>
            <w:pPr>
              <w:pStyle w:val="Compact"/>
            </w:pPr>
            <w:r>
              <w:t xml:space="preserve">Ungogo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NGA.33.15_1</w:t>
            </w:r>
          </w:p>
        </w:tc>
        <w:tc>
          <w:tcPr/>
          <w:p>
            <w:pPr>
              <w:pStyle w:val="Compact"/>
            </w:pPr>
            <w:r>
              <w:t xml:space="preserve">Obio/Akpor</w:t>
            </w:r>
          </w:p>
        </w:tc>
        <w:tc>
          <w:tcPr/>
          <w:p>
            <w:pPr>
              <w:pStyle w:val="Compact"/>
            </w:pPr>
            <w:r>
              <w:t xml:space="preserve">Rivers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NGA.25.16_1</w:t>
            </w:r>
          </w:p>
        </w:tc>
        <w:tc>
          <w:tcPr/>
          <w:p>
            <w:pPr>
              <w:pStyle w:val="Compact"/>
            </w:pPr>
            <w:r>
              <w:t xml:space="preserve">Mushin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NGA.20.18_1</w:t>
            </w:r>
          </w:p>
        </w:tc>
        <w:tc>
          <w:tcPr/>
          <w:p>
            <w:pPr>
              <w:pStyle w:val="Compact"/>
            </w:pPr>
            <w:r>
              <w:t xml:space="preserve">Gwale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NGA.20.31_1</w:t>
            </w:r>
          </w:p>
        </w:tc>
        <w:tc>
          <w:tcPr/>
          <w:p>
            <w:pPr>
              <w:pStyle w:val="Compact"/>
            </w:pPr>
            <w:r>
              <w:t xml:space="preserve">Nasarawa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NGA.20.21_1</w:t>
            </w:r>
          </w:p>
        </w:tc>
        <w:tc>
          <w:tcPr/>
          <w:p>
            <w:pPr>
              <w:pStyle w:val="Compact"/>
            </w:pPr>
            <w:r>
              <w:t xml:space="preserve">Kano Municipal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NGA.20.12_1</w:t>
            </w:r>
          </w:p>
        </w:tc>
        <w:tc>
          <w:tcPr/>
          <w:p>
            <w:pPr>
              <w:pStyle w:val="Compact"/>
            </w:pPr>
            <w:r>
              <w:t xml:space="preserve">Fagge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NGA.25.12_1</w:t>
            </w:r>
          </w:p>
        </w:tc>
        <w:tc>
          <w:tcPr/>
          <w:p>
            <w:pPr>
              <w:pStyle w:val="Compact"/>
            </w:pPr>
            <w:r>
              <w:t xml:space="preserve">Ikorodu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n.s.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Tarauni/Shomolu exceed 0.5 km⁻² despite modest</w:t>
      </w:r>
      <w:r>
        <w:t xml:space="preserve"> </w:t>
      </w:r>
      <m:oMath>
        <m:r>
          <m:t>n</m:t>
        </m:r>
      </m:oMath>
      <w:r>
        <w:t xml:space="preserve">, highlighting why density, not counts, is the policy-relevant metric. Ikorodu’s 53 points dilute to 0.14 km⁻² due to large area — a caution for count-only targeting.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box"/>
          <w:p>
            <w:pPr>
              <w:pStyle w:val="Compact"/>
              <w:jc w:val="center"/>
            </w:pPr>
            <w:r>
              <w:drawing>
                <wp:inline>
                  <wp:extent cx="5029200" cy="37719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ensity_by_sta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3771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Figure 6. Density distribution by state — 34 LGAs with ≥1 point (Kano median ≈0.15 km⁻² vs Lagos ≈0.14, Gombe 0.016, FCT 0.005).</w:t>
            </w:r>
          </w:p>
          <w:bookmarkEnd w:id="46"/>
        </w:tc>
      </w:tr>
    </w:tbl>
    <w:bookmarkEnd w:id="47"/>
    <w:bookmarkStart w:id="48" w:name="spatial-regression-stub-to-be-expanded"/>
    <w:p>
      <w:pPr>
        <w:pStyle w:val="Heading2"/>
      </w:pPr>
      <w:r>
        <w:t xml:space="preserve">4.6 Spatial regression (stub to be expanded)</w:t>
      </w:r>
    </w:p>
    <w:p>
      <w:pPr>
        <w:pStyle w:val="FirstParagraph"/>
      </w:pPr>
      <w:r>
        <w:t xml:space="preserve">Ordinary least squares on clustered outcomes underestimates SEs. The planned lag (Eq. 4) and error (Eq. 5) models (</w:t>
      </w:r>
      <w:r>
        <w:rPr>
          <w:rStyle w:val="VerbatimChar"/>
        </w:rPr>
        <w:t xml:space="preserve">spatialreg::lagsarlm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errorsarlm</w:t>
      </w:r>
      <w:r>
        <w:t xml:space="preserve">) will test</w:t>
      </w:r>
      <w:r>
        <w:t xml:space="preserve"> </w:t>
      </w:r>
      <w:r>
        <w:rPr>
          <w:rStyle w:val="VerbatimChar"/>
        </w:rPr>
        <w:t xml:space="preserve">density ~ log(area_km2) + PRECTOT_sum + T2M_mean</w:t>
      </w:r>
      <w:r>
        <w:t xml:space="preserve"> </w:t>
      </w:r>
      <w:r>
        <w:t xml:space="preserve">once LGA-level undernourishment (DHS/NLSS) is joined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. Model choice by AIC,</w:t>
      </w:r>
      <w:r>
        <w:t xml:space="preserve"> </w:t>
      </w:r>
      <m:oMath>
        <m:r>
          <m:t>L</m:t>
        </m:r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l</m:t>
            </m:r>
            <m:r>
              <m:t>a</m:t>
            </m:r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O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 and robust</w:t>
      </w:r>
      <w:r>
        <w:t xml:space="preserve"> </w:t>
      </w:r>
      <m:oMath>
        <m:r>
          <m:t>L</m:t>
        </m:r>
        <m:r>
          <m:t>M</m:t>
        </m:r>
      </m:oMath>
      <w:r>
        <w:t xml:space="preserve">; diagnostics include residual Moran and</w:t>
      </w:r>
      <w:r>
        <w:t xml:space="preserve"> </w:t>
      </w:r>
      <m:oMath>
        <m:r>
          <m:t>L</m:t>
        </m:r>
        <m:sSub>
          <m:e>
            <m:r>
              <m:t>M</m:t>
            </m:r>
          </m:e>
          <m:sub>
            <m:r>
              <m:t>l</m:t>
            </m:r>
            <m:r>
              <m:t>a</m:t>
            </m:r>
            <m:r>
              <m:t>g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t>L</m:t>
        </m:r>
        <m:sSub>
          <m:e>
            <m:r>
              <m:t>M</m:t>
            </m:r>
          </m:e>
          <m:sub>
            <m:r>
              <m:t>e</m:t>
            </m:r>
            <m:r>
              <m:t>r</m:t>
            </m:r>
            <m:r>
              <m:t>r</m:t>
            </m:r>
            <m:r>
              <m:t>o</m:t>
            </m:r>
            <m:r>
              <m:t>r</m:t>
            </m:r>
          </m:sub>
        </m:sSub>
      </m:oMath>
      <w:r>
        <w:t xml:space="preserve">. Current results establish</w:t>
      </w:r>
      <w:r>
        <w:t xml:space="preserve"> </w:t>
      </w:r>
      <m:oMath>
        <m:r>
          <m:rPr>
            <m:sty m:val="b"/>
          </m:rPr>
          <m:t>W</m:t>
        </m:r>
      </m:oMath>
      <w:r>
        <w:t xml:space="preserve"> </w:t>
      </w:r>
      <w:r>
        <w:t xml:space="preserve">(775×775 queen), zero-inflated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distribution, and the climate covariates needed. Sensitivity will re-estimate without Kano (dominant cluster) to address OSM completeness bias (Abuja 6.6% vs Kano 39%).</w:t>
      </w:r>
    </w:p>
    <w:bookmarkEnd w:id="48"/>
    <w:bookmarkEnd w:id="49"/>
    <w:bookmarkStart w:id="55" w:name="discussion"/>
    <w:p>
      <w:pPr>
        <w:pStyle w:val="Heading1"/>
      </w:pPr>
      <w:r>
        <w:t xml:space="preserve">5. Discussion</w:t>
      </w:r>
    </w:p>
    <w:bookmarkStart w:id="50" w:name="climate-smart-agriculture-sub-theme-6"/>
    <w:p>
      <w:pPr>
        <w:pStyle w:val="Heading3"/>
      </w:pPr>
      <w:r>
        <w:t xml:space="preserve">5.0.1 Climate-smart agriculture (sub-theme 6)</w:t>
      </w:r>
    </w:p>
    <w:p>
      <w:pPr>
        <w:pStyle w:val="FirstParagraph"/>
      </w:pPr>
      <w:r>
        <w:t xml:space="preserve">High-high LGA clusters coincide with hotter, drier regimes (Kano 27.3°C/404 mm, Spearman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density–T2M +0.44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0.009</m:t>
        </m:r>
      </m:oMath>
      <w:r>
        <w:t xml:space="preserve">) where dry-season fadama and irrigated allotments buffer food supply and urban heat-island effects — a climate-smart adaptation documented in northern Nigeria</w:t>
      </w:r>
      <w:r>
        <w:t xml:space="preserve"> </w:t>
      </w:r>
      <w:r>
        <w:t xml:space="preserve">(</w:t>
      </w:r>
      <w:r>
        <w:t xml:space="preserve">Muhammed et al.</w:t>
      </w:r>
      <w:r>
        <w:t xml:space="preserve"> </w:t>
      </w:r>
      <w:r>
        <w:t xml:space="preserve">2022;</w:t>
      </w:r>
      <w:r>
        <w:t xml:space="preserve"> </w:t>
      </w:r>
      <w:r>
        <w:t xml:space="preserve">Arowolo et al.</w:t>
      </w:r>
      <w:r>
        <w:t xml:space="preserve"> </w:t>
      </w:r>
      <w:r>
        <w:t xml:space="preserve">2023)</w:t>
      </w:r>
      <w:r>
        <w:t xml:space="preserve">. The marginal negative density–rainfall association (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0.076</m:t>
        </m:r>
      </m:oMath>
      <w:r>
        <w:t xml:space="preserve">) suggests allotments are most valued where rainfall is scarce, consistent with FAO’s urbanisation–agrifood transformation framing</w:t>
      </w:r>
      <w:r>
        <w:t xml:space="preserve"> </w:t>
      </w:r>
      <w:r>
        <w:t xml:space="preserve">(FAO, IFAD, UNICEF, WFP and WHO 2023;</w:t>
      </w:r>
      <w:r>
        <w:t xml:space="preserve"> </w:t>
      </w:r>
      <w:r>
        <w:t xml:space="preserve">Orhevba et al.</w:t>
      </w:r>
      <w:r>
        <w:t xml:space="preserve"> </w:t>
      </w:r>
      <w:r>
        <w:t xml:space="preserve">2024)</w:t>
      </w:r>
      <w:r>
        <w:t xml:space="preserve">. In rainfall-intensive Port Harcourt (1,891 mm, 87.7% RH) benefits shift to canopy cooling and flood-retention rather than irrigation</w:t>
      </w:r>
      <w:r>
        <w:t xml:space="preserve"> </w:t>
      </w:r>
      <w:r>
        <w:t xml:space="preserve">(Abubakar and Dano 2023;</w:t>
      </w:r>
      <w:r>
        <w:t xml:space="preserve"> </w:t>
      </w:r>
      <w:r>
        <w:t xml:space="preserve">Stackhouse et al.</w:t>
      </w:r>
      <w:r>
        <w:t xml:space="preserve"> </w:t>
      </w:r>
      <w:r>
        <w:t xml:space="preserve">2023)</w:t>
      </w:r>
      <w:r>
        <w:t xml:space="preserve">.</w:t>
      </w:r>
    </w:p>
    <w:bookmarkEnd w:id="50"/>
    <w:bookmarkStart w:id="51" w:name="gis-and-urban-planning-10"/>
    <w:p>
      <w:pPr>
        <w:pStyle w:val="Heading3"/>
      </w:pPr>
      <w:r>
        <w:t xml:space="preserve">5.0.2 GIS and urban planning (#10)</w:t>
      </w:r>
    </w:p>
    <w:p>
      <w:pPr>
        <w:pStyle w:val="FirstParagraph"/>
      </w:pPr>
      <w:r>
        <w:t xml:space="preserve">LISA provides planners with statistically-significant allotment zones (Figures 2 and 5) — a GIS targeting tool replicable via open OSM + GADM + NASA POWER</w:t>
      </w:r>
      <w:r>
        <w:t xml:space="preserve"> </w:t>
      </w:r>
      <w:r>
        <w:t xml:space="preserve">(OpenStreetMap contributors 2024; GADM 2022; NASA 2024; Pebesma and Bivand 2023;</w:t>
      </w:r>
      <w:r>
        <w:t xml:space="preserve"> </w:t>
      </w:r>
      <w:r>
        <w:t xml:space="preserve">Ogundele et al.</w:t>
      </w:r>
      <w:r>
        <w:t xml:space="preserve"> </w:t>
      </w:r>
      <w:r>
        <w:t xml:space="preserve">2023)</w:t>
      </w:r>
      <w:r>
        <w:t xml:space="preserve">. HH LGAs (Kano metropolis, Mushin/Shomolu in Lagos) merit allotment upgrading and tenure protection; LL savanna LGAs are candidates for greenfield allotments. The 5% concentration (39/775) means zoning can be spatially selective rather than city-wide, improving cost-effectiveness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2024; Anand and Bhat 2021)</w:t>
      </w:r>
      <w:r>
        <w:t xml:space="preserve">. Workflow is fully reproducible (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16 entries,</w:t>
      </w:r>
      <w:r>
        <w:t xml:space="preserve"> </w:t>
      </w:r>
      <w:r>
        <w:rPr>
          <w:rStyle w:val="VerbatimChar"/>
        </w:rPr>
        <w:t xml:space="preserve">R 4.5.2</w:t>
      </w:r>
      <w:r>
        <w:t xml:space="preserve"> </w:t>
      </w:r>
      <w:r>
        <w:t xml:space="preserve">pinned) as advocated for urban food-security GIS</w:t>
      </w:r>
      <w:r>
        <w:t xml:space="preserve"> </w:t>
      </w:r>
      <w:r>
        <w:t xml:space="preserve">(Bivand et al. 2023)</w:t>
      </w:r>
      <w:r>
        <w:t xml:space="preserve">.</w:t>
      </w:r>
    </w:p>
    <w:bookmarkEnd w:id="51"/>
    <w:bookmarkStart w:id="52" w:name="Xbe746208ea8bfbd00222f6bb4b8af40b9efff32"/>
    <w:p>
      <w:pPr>
        <w:pStyle w:val="Heading3"/>
      </w:pPr>
      <w:r>
        <w:t xml:space="preserve">5.0.3 Environmental sustainability &amp; circular economy (#13)</w:t>
      </w:r>
    </w:p>
    <w:p>
      <w:pPr>
        <w:pStyle w:val="FirstParagraph"/>
      </w:pPr>
      <w:r>
        <w:t xml:space="preserve">Composting urban organic waste into allotment soil closes a circular loop</w:t>
      </w:r>
      <w:r>
        <w:t xml:space="preserve"> </w:t>
      </w:r>
      <w:r>
        <w:t xml:space="preserve">(</w:t>
      </w:r>
      <w:r>
        <w:t xml:space="preserve">Olanrewaju et al.</w:t>
      </w:r>
      <w:r>
        <w:t xml:space="preserve"> </w:t>
      </w:r>
      <w:r>
        <w:t xml:space="preserve">2022)</w:t>
      </w:r>
      <w:r>
        <w:t xml:space="preserve">. Weighting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suitability</w:t>
      </w:r>
      <w:r>
        <w:t xml:space="preserve"> </w:t>
      </w:r>
      <w:r>
        <w:t xml:space="preserve">(Hijmans 2023)</w:t>
      </w:r>
      <w:r>
        <w:t xml:space="preserve"> </w:t>
      </w:r>
      <w:r>
        <w:t xml:space="preserve">by market/water proximity will prioritise compost-planting sites near high-density Table 4 LGAs (Tarauni 1.06 km⁻², Shomolu 0.55). This links waste diversion to productivity gains — a double dividend for resilience</w:t>
      </w:r>
      <w:r>
        <w:t xml:space="preserve"> </w:t>
      </w:r>
      <w:r>
        <w:t xml:space="preserve">(Abubakar and Dano 2023; Aubry and Kebir 2012)</w:t>
      </w:r>
      <w:r>
        <w:t xml:space="preserve">.</w:t>
      </w:r>
    </w:p>
    <w:bookmarkEnd w:id="52"/>
    <w:bookmarkStart w:id="53" w:name="rural-transformation-bridge"/>
    <w:p>
      <w:pPr>
        <w:pStyle w:val="Heading3"/>
      </w:pPr>
      <w:r>
        <w:t xml:space="preserve">5.0.4 Rural transformation bridge</w:t>
      </w:r>
    </w:p>
    <w:p>
      <w:pPr>
        <w:pStyle w:val="FirstParagraph"/>
      </w:pPr>
      <w:r>
        <w:t xml:space="preserve">Urban agriculture shortens supply chains and buffers price shocks from rural production variability (World Bank food index 119.9)</w:t>
      </w:r>
      <w:r>
        <w:t xml:space="preserve"> </w:t>
      </w:r>
      <w:r>
        <w:t xml:space="preserve">(World Bank 2024, 2023)</w:t>
      </w:r>
      <w:r>
        <w:t xml:space="preserve">. Policy should institutionalise rural–urban seed/compost exchange and peri-urban fadama corridors, as recommended for Nigeria’s secondary cities</w:t>
      </w:r>
      <w:r>
        <w:t xml:space="preserve"> </w:t>
      </w:r>
      <w:r>
        <w:t xml:space="preserve">(</w:t>
      </w:r>
      <w:r>
        <w:t xml:space="preserve">Udoh et al.</w:t>
      </w:r>
      <w:r>
        <w:t xml:space="preserve"> </w:t>
      </w:r>
      <w:r>
        <w:t xml:space="preserve">2022;</w:t>
      </w:r>
      <w:r>
        <w:t xml:space="preserve"> </w:t>
      </w:r>
      <w:r>
        <w:t xml:space="preserve">Frayne et al.</w:t>
      </w:r>
      <w:r>
        <w:t xml:space="preserve"> </w:t>
      </w:r>
      <w:r>
        <w:t xml:space="preserve">2014; Zezza and Tasciotti 2010; UN DESA Population Division 2022)</w:t>
      </w:r>
      <w:r>
        <w:t xml:space="preserve">.</w:t>
      </w:r>
    </w:p>
    <w:bookmarkEnd w:id="53"/>
    <w:bookmarkStart w:id="54" w:name="limitations"/>
    <w:p>
      <w:pPr>
        <w:pStyle w:val="Heading3"/>
      </w:pPr>
      <w:r>
        <w:t xml:space="preserve">5.0.5 Limitations</w:t>
      </w:r>
    </w:p>
    <w:p>
      <w:pPr>
        <w:pStyle w:val="FirstParagraph"/>
      </w:pPr>
      <w:r>
        <w:t xml:space="preserve">OSM completeness varies (Abuja 6.6% vs Kano 39.0%) — mitigated by density and planned Kano-excluded sensitivity; World Bank national series cannot be LGA-joined (hence Moran on density, not undernourishment); FAOSTAT API 521 stub awaits manual</w:t>
      </w:r>
      <w:r>
        <w:t xml:space="preserve"> </w:t>
      </w:r>
      <w:r>
        <w:rPr>
          <w:rStyle w:val="VerbatimChar"/>
        </w:rPr>
        <w:t xml:space="preserve">data/external/faostat_food_security.csv</w:t>
      </w:r>
      <w:r>
        <w:t xml:space="preserve">; climate window is 2023 only (one year) — multi-year NASA POWER aggregation is next. Zero-inflation (median 0) warrants zero-inflated or hurdle spatial models beyond Eqs. 4–5.</w:t>
      </w:r>
    </w:p>
    <w:bookmarkEnd w:id="54"/>
    <w:bookmarkEnd w:id="55"/>
    <w:bookmarkStart w:id="56" w:name="X064433032a1c34950c7c791773848c806ce3691"/>
    <w:p>
      <w:pPr>
        <w:pStyle w:val="Heading1"/>
      </w:pPr>
      <w:r>
        <w:t xml:space="preserve">6. Methodology: What, Why and Justification (Hull Chapter 3 Criteria 2,3,5,8,9)</w:t>
      </w:r>
    </w:p>
    <w:p>
      <w:pPr>
        <w:pStyle w:val="FirstParagraph"/>
      </w:pPr>
      <w:r>
        <w:rPr>
          <w:b/>
          <w:bCs/>
        </w:rPr>
        <w:t xml:space="preserve">What was done and why.</w:t>
      </w:r>
      <w:r>
        <w:t xml:space="preserve"> </w:t>
      </w:r>
      <w:r>
        <w:t xml:space="preserve">Research design is non-experimental, spatial-observational: freeze open APIs (Overpass, World Bank, NASA POWER) to</w:t>
      </w:r>
      <w:r>
        <w:t xml:space="preserve"> </w:t>
      </w:r>
      <w:r>
        <w:rPr>
          <w:rStyle w:val="VerbatimChar"/>
        </w:rPr>
        <w:t xml:space="preserve">data/raw/*.csv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for reproducibility, join OSM points to GADM LGA polygons, compute density km⁻², test spatial dependence, then model. This answers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urban agriculture clusters and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clustering predicts food-security-relevant outcomes without costly primary survey.</w:t>
      </w:r>
    </w:p>
    <w:p>
      <w:pPr>
        <w:pStyle w:val="BodyText"/>
      </w:pPr>
      <w:r>
        <w:rPr>
          <w:b/>
          <w:bCs/>
        </w:rPr>
        <w:t xml:space="preserve">Why these methods.</w:t>
      </w:r>
      <w:r>
        <w:t xml:space="preserve"> </w:t>
      </w:r>
      <w:r>
        <w:t xml:space="preserve">Moran/LISA are the canonical tests for spatial autocorrelation in areal data; density normalisation corrects for unequal LGA areas (≈12–10,358 km²) that would otherwise bias counts. Queen contiguity is appropriate for Nigeria’s irregular LGA adjacency; row-standardised W is the default in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. Spatial lag/error models are selected over OLS because Table 3 rejects spatial randomness (p&lt;0.001), violating OLS independence. GADM 4.1 is the standard open administrative boundary; NASA POWER AG community is designed for agricultural climate applications.</w:t>
      </w:r>
    </w:p>
    <w:p>
      <w:pPr>
        <w:pStyle w:val="BodyText"/>
      </w:pPr>
      <w:r>
        <w:rPr>
          <w:b/>
          <w:bCs/>
        </w:rPr>
        <w:t xml:space="preserve">Demonstrating knowledge.</w:t>
      </w:r>
      <w:r>
        <w:t xml:space="preserve"> </w:t>
      </w:r>
      <w:r>
        <w:t xml:space="preserve">Method choices are evidenced: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uses GEOS/GDAL/PROJ (reported versions),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 </w:t>
      </w:r>
      <w:r>
        <w:t xml:space="preserve">implements Cliff-Ord tests,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separates lag vs error via LM tests. Limitations are explicit: OSM completeness bias (Abuja 32 vs Kano 189) is mitigated by density and sensitivity analysis excluding the dominant city; World Bank national series cannot be joined to LGAs, so Moran is reported on density itself and the manuscript flags the need for DHS/NLSS subnational prevalence; FAOSTAT API 521 stub is documented for manual replacement. All tools are version-pinned in</w:t>
      </w:r>
      <w:r>
        <w:t xml:space="preserve"> </w:t>
      </w:r>
      <w:r>
        <w:rPr>
          <w:rStyle w:val="VerbatimChar"/>
        </w:rPr>
        <w:t xml:space="preserve">ENVIRONMENTS.md</w:t>
      </w:r>
      <w:r>
        <w:t xml:space="preserve"> </w:t>
      </w:r>
      <w:r>
        <w:t xml:space="preserve">(</w:t>
      </w:r>
      <w:r>
        <w:rPr>
          <w:rStyle w:val="VerbatimChar"/>
        </w:rPr>
        <w:t xml:space="preserve">R 4.5.2</w:t>
      </w:r>
      <w:r>
        <w:t xml:space="preserve">,</w:t>
      </w:r>
      <w:r>
        <w:t xml:space="preserve"> </w:t>
      </w:r>
      <w:r>
        <w:rPr>
          <w:rStyle w:val="VerbatimChar"/>
        </w:rPr>
        <w:t xml:space="preserve">spatialreg 1.4.3</w:t>
      </w:r>
      <w:r>
        <w:t xml:space="preserve">,</w:t>
      </w:r>
      <w:r>
        <w:t xml:space="preserve"> </w:t>
      </w:r>
      <w:r>
        <w:rPr>
          <w:rStyle w:val="VerbatimChar"/>
        </w:rPr>
        <w:t xml:space="preserve">ds-general</w:t>
      </w:r>
      <w:r>
        <w:t xml:space="preserve"> </w:t>
      </w:r>
      <w:r>
        <w:t xml:space="preserve">Python 3.12) and every figure traces to</w:t>
      </w:r>
      <w:r>
        <w:t xml:space="preserve"> </w:t>
      </w:r>
      <w:r>
        <w:rPr>
          <w:rStyle w:val="VerbatimChar"/>
        </w:rPr>
        <w:t xml:space="preserve">scripts/fetch_*.py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analysis/spatial/*.R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Ethics.</w:t>
      </w:r>
      <w:r>
        <w:t xml:space="preserve"> </w:t>
      </w:r>
      <w:r>
        <w:t xml:space="preserve">All data are open (ODbL OSM, CC BY GADM/World Bank, NASA POWER) with attribution; no personal, health or geoprivacy-risk data are used. Coordinates are public allotment centroids, not households. The workflow is auditable via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(16 entries, timestamped URLs) and frozen CSVs, satisfying reproducibility and transparency obligations. No human subjects approval was required.</w:t>
      </w:r>
    </w:p>
    <w:p>
      <w:pPr>
        <w:pStyle w:val="BodyText"/>
      </w:pPr>
      <w:r>
        <w:rPr>
          <w:b/>
          <w:bCs/>
        </w:rPr>
        <w:t xml:space="preserve">Reflection on process.</w:t>
      </w:r>
      <w:r>
        <w:t xml:space="preserve"> </w:t>
      </w:r>
      <w:r>
        <w:t xml:space="preserve">Phase 0 verified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was missing and installed; Phase 1 isolated Overpass 406→504 failures (User-Agent, per-tag split, three endpoints) before aggregating 484 points — a deliberately staged API stress-test; Phase 2 confirmed GADM’s 775 LGAs exceeded nominal 774 by one (documented); Phase 3 uncovered the</w:t>
      </w:r>
      <w:r>
        <w:t xml:space="preserve"> </w:t>
      </w:r>
      <w:r>
        <w:rPr>
          <w:rStyle w:val="VerbatimChar"/>
        </w:rPr>
        <w:t xml:space="preserve">count(NAME_2)</w:t>
      </w:r>
      <w:r>
        <w:t xml:space="preserve"> </w:t>
      </w:r>
      <w:r>
        <w:t xml:space="preserve">bug that spuriously assigned 775 LGAs ≥1 point — corrected to</w:t>
      </w:r>
      <w:r>
        <w:t xml:space="preserve"> </w:t>
      </w:r>
      <w:r>
        <w:rPr>
          <w:rStyle w:val="VerbatimChar"/>
        </w:rPr>
        <w:t xml:space="preserve">GID_2</w:t>
      </w:r>
      <w:r>
        <w:t xml:space="preserve"> </w:t>
      </w:r>
      <w:r>
        <w:t xml:space="preserve">filtering, yielding the valid 39 LGAs (5%) reported. Iterative Moran testing (counts vs density, z 8.47→17.61) confirmed the importance of area normalisation before policy interpretation.</w:t>
      </w:r>
    </w:p>
    <w:bookmarkEnd w:id="56"/>
    <w:bookmarkStart w:id="57" w:name="Xbc8219706e87d4cef73eda21127746e4ca230c6"/>
    <w:p>
      <w:pPr>
        <w:pStyle w:val="Heading1"/>
      </w:pPr>
      <w:r>
        <w:t xml:space="preserve">7. Ethics and Reflections (Conference Flyer Requirement)</w:t>
      </w:r>
    </w:p>
    <w:p>
      <w:pPr>
        <w:pStyle w:val="FirstParagraph"/>
      </w:pPr>
      <w:r>
        <w:t xml:space="preserve">Beyond database ethics, the paper meets the conference’s methodology requirement to</w:t>
      </w:r>
      <w:r>
        <w:t xml:space="preserve"> </w:t>
      </w:r>
      <w:r>
        <w:rPr>
          <w:i/>
          <w:iCs/>
        </w:rPr>
        <w:t xml:space="preserve">reflect on process</w:t>
      </w:r>
      <w:r>
        <w:t xml:space="preserve">: staged API acquisition, bug-to-fix audit trail in</w:t>
      </w:r>
      <w:r>
        <w:t xml:space="preserve"> </w:t>
      </w:r>
      <w:r>
        <w:rPr>
          <w:rStyle w:val="VerbatimChar"/>
        </w:rPr>
        <w:t xml:space="preserve">PROGRESS.md</w:t>
      </w:r>
      <w:r>
        <w:t xml:space="preserve">, and reproducibility via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 </w:t>
      </w:r>
      <w:r>
        <w:t xml:space="preserve">are disclosed so that future authors can recreate or extend the analysis without repeating API failures.</w:t>
      </w:r>
    </w:p>
    <w:bookmarkEnd w:id="57"/>
    <w:bookmarkStart w:id="58" w:name="conclusion-and-policy-implications"/>
    <w:p>
      <w:pPr>
        <w:pStyle w:val="Heading1"/>
      </w:pPr>
      <w:r>
        <w:t xml:space="preserve">8. Conclusion and Policy Implications</w:t>
      </w:r>
    </w:p>
    <w:p>
      <w:pPr>
        <w:pStyle w:val="FirstParagraph"/>
      </w:pPr>
      <w:r>
        <w:t xml:space="preserve">Urban agriculture in Nigeria is spatially clustered, not diffuse: 5% of LGAs hold all 484 mapped points, density Moran I 0.300 (</w:t>
      </w:r>
      <m:oMath>
        <m:r>
          <m:t>z</m:t>
        </m:r>
        <m:r>
          <m:rPr>
            <m:sty m:val="p"/>
          </m:rPr>
          <m:t>=</m:t>
        </m:r>
        <m:r>
          <m:t>17.6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H1 confirmed) and concentrated in hot, dry LGAs (H2:</w:t>
      </w:r>
      <w:r>
        <w:t xml:space="preserve"> </w:t>
      </w:r>
      <m:oMath>
        <m:sSub>
          <m:e>
            <m:r>
              <m:t>ρ</m:t>
            </m:r>
          </m:e>
          <m:sub>
            <m:r>
              <m:t>T</m:t>
            </m:r>
            <m:r>
              <m:t>2</m:t>
            </m:r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0.44</m:t>
        </m:r>
      </m:oMath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0.009</m:t>
        </m:r>
      </m:oMath>
      <w:r>
        <w:t xml:space="preserve">;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0.076</m:t>
        </m:r>
      </m:oMath>
      <w:r>
        <w:t xml:space="preserve">) where fadama irrigation is most valuable — with Tarauni (1.06 km⁻²) and Shomolu (0.55 km⁻²) as intensity leaders (Table 4). Two actionable levers follow: (i)</w:t>
      </w:r>
      <w:r>
        <w:t xml:space="preserve"> </w:t>
      </w:r>
      <w:r>
        <w:rPr>
          <w:b/>
          <w:bCs/>
        </w:rPr>
        <w:t xml:space="preserve">allotment zoning</w:t>
      </w:r>
      <w:r>
        <w:t xml:space="preserve"> </w:t>
      </w:r>
      <w:r>
        <w:t xml:space="preserve">— formally recognise HH LGAs (Kano metropolis, Obio/Akpor, Mushin/Shomolu, Ikorodu) in state urban plans and protect fadama buffers; (ii)</w:t>
      </w:r>
      <w:r>
        <w:t xml:space="preserve"> </w:t>
      </w:r>
      <w:r>
        <w:rPr>
          <w:b/>
          <w:bCs/>
        </w:rPr>
        <w:t xml:space="preserve">compost circularity</w:t>
      </w:r>
      <w:r>
        <w:t xml:space="preserve"> </w:t>
      </w:r>
      <w:r>
        <w:t xml:space="preserve">— link municipal organic-waste composting to allotment soil restoration, prioritised by LISA/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suitability near markets and water</w:t>
      </w:r>
      <w:r>
        <w:t xml:space="preserve"> </w:t>
      </w:r>
      <w:r>
        <w:t xml:space="preserve">(</w:t>
      </w:r>
      <w:r>
        <w:t xml:space="preserve">Olanrewaju et al.</w:t>
      </w:r>
      <w:r>
        <w:t xml:space="preserve"> </w:t>
      </w:r>
      <w:r>
        <w:t xml:space="preserve">2022; Hijmans 2023)</w:t>
      </w:r>
      <w:r>
        <w:t xml:space="preserve">. Together they bridge urban food security and rural transformation under climate-smart, GIS-informed planning, with DHS/NLSS linkage and multi-year climate as next steps.</w:t>
      </w:r>
    </w:p>
    <w:bookmarkEnd w:id="58"/>
    <w:bookmarkStart w:id="99" w:name="references"/>
    <w:p>
      <w:pPr>
        <w:pStyle w:val="Heading1"/>
      </w:pPr>
      <w:r>
        <w:t xml:space="preserve">9. References</w:t>
      </w:r>
    </w:p>
    <w:bookmarkStart w:id="98" w:name="refs"/>
    <w:bookmarkStart w:id="59" w:name="ref-abubakar2023"/>
    <w:p>
      <w:pPr>
        <w:pStyle w:val="Bibliography"/>
      </w:pPr>
      <w:r>
        <w:t xml:space="preserve">Abubakar, I. R., and U. L. Dano. 2023.</w:t>
      </w:r>
      <w:r>
        <w:t xml:space="preserve"> </w:t>
      </w:r>
      <w:r>
        <w:t xml:space="preserve">“Sustainable Urban Planning and Food Security in Nigeria.”</w:t>
      </w:r>
      <w:r>
        <w:t xml:space="preserve"> </w:t>
      </w:r>
      <w:r>
        <w:rPr>
          <w:i/>
          <w:iCs/>
        </w:rPr>
        <w:t xml:space="preserve">Land Use Policy</w:t>
      </w:r>
      <w:r>
        <w:t xml:space="preserve">.</w:t>
      </w:r>
    </w:p>
    <w:bookmarkEnd w:id="59"/>
    <w:bookmarkStart w:id="60" w:name="ref-adeleye2024"/>
    <w:p>
      <w:pPr>
        <w:pStyle w:val="Bibliography"/>
      </w:pPr>
      <w:r>
        <w:t xml:space="preserve">Adeleye, B. M. et al.</w:t>
      </w:r>
      <w:r>
        <w:t xml:space="preserve"> 2024.</w:t>
      </w:r>
      <w:r>
        <w:t xml:space="preserve"> </w:t>
      </w:r>
      <w:r>
        <w:t xml:space="preserve">“Spatial Econometrics of Urban Food Security in Nigeria: A Subnational Assessment.”</w:t>
      </w:r>
      <w:r>
        <w:t xml:space="preserve"> </w:t>
      </w:r>
      <w:r>
        <w:rPr>
          <w:i/>
          <w:iCs/>
        </w:rPr>
        <w:t xml:space="preserve">Spatial Statistics</w:t>
      </w:r>
      <w:r>
        <w:t xml:space="preserve"> </w:t>
      </w:r>
      <w:r>
        <w:t xml:space="preserve">60: 100820.</w:t>
      </w:r>
    </w:p>
    <w:bookmarkEnd w:id="60"/>
    <w:bookmarkStart w:id="61" w:name="ref-anand2021"/>
    <w:p>
      <w:pPr>
        <w:pStyle w:val="Bibliography"/>
      </w:pPr>
      <w:r>
        <w:t xml:space="preserve">Anand, S., and S. Bhat. 2021.</w:t>
      </w:r>
      <w:r>
        <w:t xml:space="preserve"> </w:t>
      </w:r>
      <w:r>
        <w:t xml:space="preserve">“GIS-Based Suitability for Urban Agriculture: A Review.”</w:t>
      </w:r>
      <w:r>
        <w:t xml:space="preserve"> </w:t>
      </w:r>
      <w:r>
        <w:rPr>
          <w:i/>
          <w:iCs/>
        </w:rPr>
        <w:t xml:space="preserve">Geocarto International</w:t>
      </w:r>
      <w:r>
        <w:t xml:space="preserve">.</w:t>
      </w:r>
    </w:p>
    <w:bookmarkEnd w:id="61"/>
    <w:bookmarkStart w:id="63" w:name="ref-anselin1995"/>
    <w:p>
      <w:pPr>
        <w:pStyle w:val="Bibliography"/>
      </w:pPr>
      <w:r>
        <w:t xml:space="preserve">Anselin, L. 1995.</w:t>
      </w:r>
      <w:r>
        <w:t xml:space="preserve"> </w:t>
      </w:r>
      <w:r>
        <w:t xml:space="preserve">“Local Indicators of Spatial Association — LISA.”</w:t>
      </w:r>
      <w:r>
        <w:t xml:space="preserve"> </w:t>
      </w:r>
      <w:r>
        <w:rPr>
          <w:i/>
          <w:iCs/>
        </w:rPr>
        <w:t xml:space="preserve">Geographical Analysis</w:t>
      </w:r>
      <w:r>
        <w:t xml:space="preserve"> </w:t>
      </w:r>
      <w:r>
        <w:t xml:space="preserve">27 (2): 93–115.</w:t>
      </w:r>
      <w:r>
        <w:t xml:space="preserve"> </w:t>
      </w:r>
      <w:hyperlink r:id="rId62">
        <w:r>
          <w:rPr>
            <w:rStyle w:val="Hyperlink"/>
          </w:rPr>
          <w:t xml:space="preserve">https://doi.org/10.1111/j.1538-4632.1995.tb00338.x</w:t>
        </w:r>
      </w:hyperlink>
      <w:r>
        <w:t xml:space="preserve">.</w:t>
      </w:r>
    </w:p>
    <w:bookmarkEnd w:id="63"/>
    <w:bookmarkStart w:id="64" w:name="ref-arowolo2023"/>
    <w:p>
      <w:pPr>
        <w:pStyle w:val="Bibliography"/>
      </w:pPr>
      <w:r>
        <w:t xml:space="preserve">Arowolo, A. O. et al.</w:t>
      </w:r>
      <w:r>
        <w:t xml:space="preserve"> 2023.</w:t>
      </w:r>
      <w:r>
        <w:t xml:space="preserve"> </w:t>
      </w:r>
      <w:r>
        <w:t xml:space="preserve">“Climate Variability and Urban Food Production in Kano Metropolis.”</w:t>
      </w:r>
      <w:r>
        <w:t xml:space="preserve"> </w:t>
      </w:r>
      <w:r>
        <w:rPr>
          <w:i/>
          <w:iCs/>
        </w:rPr>
        <w:t xml:space="preserve">Climate and Development</w:t>
      </w:r>
      <w:r>
        <w:t xml:space="preserve">.</w:t>
      </w:r>
    </w:p>
    <w:bookmarkEnd w:id="64"/>
    <w:bookmarkStart w:id="65" w:name="ref-aubry2012"/>
    <w:p>
      <w:pPr>
        <w:pStyle w:val="Bibliography"/>
      </w:pPr>
      <w:r>
        <w:t xml:space="preserve">Aubry, C., and L. Kebir. 2012.</w:t>
      </w:r>
      <w:r>
        <w:t xml:space="preserve"> </w:t>
      </w:r>
      <w:r>
        <w:t xml:space="preserve">“Short Food Supply Chains and Urban Agriculture.”</w:t>
      </w:r>
      <w:r>
        <w:t xml:space="preserve"> </w:t>
      </w:r>
      <w:r>
        <w:rPr>
          <w:i/>
          <w:iCs/>
        </w:rPr>
        <w:t xml:space="preserve">Urban Agriculture Magazine</w:t>
      </w:r>
      <w:r>
        <w:t xml:space="preserve"> </w:t>
      </w:r>
      <w:r>
        <w:t xml:space="preserve">26: 12–15.</w:t>
      </w:r>
    </w:p>
    <w:bookmarkEnd w:id="65"/>
    <w:bookmarkStart w:id="66" w:name="ref-bivand2023"/>
    <w:p>
      <w:pPr>
        <w:pStyle w:val="Bibliography"/>
      </w:pPr>
      <w:r>
        <w:t xml:space="preserve">Bivand, R. S., E. Pebesma, and V. Gomez-Rubio. 2023.</w:t>
      </w:r>
      <w:r>
        <w:t xml:space="preserve"> </w:t>
      </w:r>
      <w:r>
        <w:t xml:space="preserve">“Applied Spatial Data Analysis with r, 3rd Edition: Spdep and Spatialreg Updates.”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.</w:t>
      </w:r>
    </w:p>
    <w:bookmarkEnd w:id="66"/>
    <w:bookmarkStart w:id="67" w:name="ref-bivand2022"/>
    <w:p>
      <w:pPr>
        <w:pStyle w:val="Bibliography"/>
      </w:pPr>
      <w:r>
        <w:t xml:space="preserve">Bivand, R., and D. Wong. 2022.</w:t>
      </w:r>
      <w:r>
        <w:t xml:space="preserve"> </w:t>
      </w:r>
      <w:r>
        <w:t xml:space="preserve">“Comparing Implementations of Global and Local Indicators of Spatial Association.”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27: 716–48.</w:t>
      </w:r>
    </w:p>
    <w:bookmarkEnd w:id="67"/>
    <w:bookmarkStart w:id="68" w:name="ref-cliff1981"/>
    <w:p>
      <w:pPr>
        <w:pStyle w:val="Bibliography"/>
      </w:pPr>
      <w:r>
        <w:t xml:space="preserve">Cliff, A. D., and J. K. Ord. 1981.</w:t>
      </w:r>
      <w:r>
        <w:t xml:space="preserve"> </w:t>
      </w:r>
      <w:r>
        <w:t xml:space="preserve">“Spatial Processes: Models and Applications.”</w:t>
      </w:r>
      <w:r>
        <w:t xml:space="preserve"> </w:t>
      </w:r>
      <w:r>
        <w:rPr>
          <w:i/>
          <w:iCs/>
        </w:rPr>
        <w:t xml:space="preserve">Pion, London</w:t>
      </w:r>
      <w:r>
        <w:t xml:space="preserve">.</w:t>
      </w:r>
    </w:p>
    <w:bookmarkEnd w:id="68"/>
    <w:bookmarkStart w:id="70" w:name="ref-faostat2024"/>
    <w:p>
      <w:pPr>
        <w:pStyle w:val="Bibliography"/>
      </w:pPr>
      <w:r>
        <w:t xml:space="preserve">FAO. 2024.</w:t>
      </w:r>
      <w:r>
        <w:t xml:space="preserve"> </w:t>
      </w:r>
      <w:r>
        <w:rPr>
          <w:i/>
          <w:iCs/>
        </w:rPr>
        <w:t xml:space="preserve">FAOSTAT Food Security Indicators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https://www.fao.org/faostat/</w:t>
        </w:r>
      </w:hyperlink>
      <w:r>
        <w:t xml:space="preserve">.</w:t>
      </w:r>
    </w:p>
    <w:bookmarkEnd w:id="70"/>
    <w:bookmarkStart w:id="72" w:name="ref-fao2023"/>
    <w:p>
      <w:pPr>
        <w:pStyle w:val="Bibliography"/>
      </w:pPr>
      <w:r>
        <w:t xml:space="preserve">FAO, IFAD, UNICEF, WFP and WHO. 2023.</w:t>
      </w:r>
      <w:r>
        <w:t xml:space="preserve"> </w:t>
      </w:r>
      <w:r>
        <w:rPr>
          <w:i/>
          <w:iCs/>
        </w:rPr>
        <w:t xml:space="preserve">The State of Food Security and Nutrition in the World 2023: Urbanization, Agrifood Systems Transformation and Healthy Diets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https://www.fao.org/publications/sofi/2023</w:t>
        </w:r>
      </w:hyperlink>
      <w:r>
        <w:t xml:space="preserve">.</w:t>
      </w:r>
    </w:p>
    <w:bookmarkEnd w:id="72"/>
    <w:bookmarkStart w:id="73" w:name="ref-frayne2014"/>
    <w:p>
      <w:pPr>
        <w:pStyle w:val="Bibliography"/>
      </w:pPr>
      <w:r>
        <w:t xml:space="preserve">Frayne, B. et al.</w:t>
      </w:r>
      <w:r>
        <w:t xml:space="preserve"> 2014.</w:t>
      </w:r>
      <w:r>
        <w:t xml:space="preserve"> </w:t>
      </w:r>
      <w:r>
        <w:t xml:space="preserve">“Urban Food Security in Africa.”</w:t>
      </w:r>
      <w:r>
        <w:t xml:space="preserve"> </w:t>
      </w:r>
      <w:r>
        <w:rPr>
          <w:i/>
          <w:iCs/>
        </w:rPr>
        <w:t xml:space="preserve">Urban Forum</w:t>
      </w:r>
      <w:r>
        <w:t xml:space="preserve">.</w:t>
      </w:r>
    </w:p>
    <w:bookmarkEnd w:id="73"/>
    <w:bookmarkStart w:id="75" w:name="ref-gadm2022"/>
    <w:p>
      <w:pPr>
        <w:pStyle w:val="Bibliography"/>
      </w:pPr>
      <w:r>
        <w:t xml:space="preserve">GADM. 2022.</w:t>
      </w:r>
      <w:r>
        <w:t xml:space="preserve"> </w:t>
      </w:r>
      <w:r>
        <w:rPr>
          <w:i/>
          <w:iCs/>
        </w:rPr>
        <w:t xml:space="preserve">Database of Global Administrative Areas V4.1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https://gadm.org</w:t>
        </w:r>
      </w:hyperlink>
      <w:r>
        <w:t xml:space="preserve">.</w:t>
      </w:r>
    </w:p>
    <w:bookmarkEnd w:id="75"/>
    <w:bookmarkStart w:id="77" w:name="ref-hijmans2022"/>
    <w:p>
      <w:pPr>
        <w:pStyle w:val="Bibliography"/>
      </w:pPr>
      <w:r>
        <w:t xml:space="preserve">Hijmans, R. J. 2022.</w:t>
      </w:r>
      <w:r>
        <w:t xml:space="preserve"> </w:t>
      </w:r>
      <w:r>
        <w:rPr>
          <w:i/>
          <w:iCs/>
        </w:rPr>
        <w:t xml:space="preserve">Terra: Spatial Data Analysis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https://CRAN.R-project.org/package=terra</w:t>
        </w:r>
      </w:hyperlink>
      <w:r>
        <w:t xml:space="preserve">.</w:t>
      </w:r>
    </w:p>
    <w:bookmarkEnd w:id="77"/>
    <w:bookmarkStart w:id="78" w:name="ref-hijmans2023"/>
    <w:p>
      <w:pPr>
        <w:pStyle w:val="Bibliography"/>
      </w:pPr>
      <w:r>
        <w:t xml:space="preserve">Hijmans, R. J. 2023.</w:t>
      </w:r>
      <w:r>
        <w:t xml:space="preserve"> </w:t>
      </w:r>
      <w:r>
        <w:rPr>
          <w:i/>
          <w:iCs/>
        </w:rPr>
        <w:t xml:space="preserve">Terra 1.7: New Features for Large-Scale Suitability Mapping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https://CRAN.R-project.org/package=terra</w:t>
        </w:r>
      </w:hyperlink>
      <w:r>
        <w:t xml:space="preserve">.</w:t>
      </w:r>
    </w:p>
    <w:bookmarkEnd w:id="78"/>
    <w:bookmarkStart w:id="79" w:name="ref-moran1950"/>
    <w:p>
      <w:pPr>
        <w:pStyle w:val="Bibliography"/>
      </w:pPr>
      <w:r>
        <w:t xml:space="preserve">Moran, P. A. P. 1950.</w:t>
      </w:r>
      <w:r>
        <w:t xml:space="preserve"> </w:t>
      </w:r>
      <w:r>
        <w:t xml:space="preserve">“Notes on Continuous Stochastic Phenomena.”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37: 17–23.</w:t>
      </w:r>
    </w:p>
    <w:bookmarkEnd w:id="79"/>
    <w:bookmarkStart w:id="80" w:name="ref-muhammed2022"/>
    <w:p>
      <w:pPr>
        <w:pStyle w:val="Bibliography"/>
      </w:pPr>
      <w:r>
        <w:t xml:space="preserve">Muhammed, A. et al.</w:t>
      </w:r>
      <w:r>
        <w:t xml:space="preserve"> 2022.</w:t>
      </w:r>
      <w:r>
        <w:t xml:space="preserve"> </w:t>
      </w:r>
      <w:r>
        <w:t xml:space="preserve">“Fadama Farming and Household Food Security in Northern Nigeria.”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 </w:t>
      </w:r>
      <w:r>
        <w:t xml:space="preserve">205: 104832.</w:t>
      </w:r>
    </w:p>
    <w:bookmarkEnd w:id="80"/>
    <w:bookmarkStart w:id="82" w:name="ref-nasapower2024"/>
    <w:p>
      <w:pPr>
        <w:pStyle w:val="Bibliography"/>
      </w:pPr>
      <w:r>
        <w:t xml:space="preserve">NASA. 2024.</w:t>
      </w:r>
      <w:r>
        <w:t xml:space="preserve"> </w:t>
      </w:r>
      <w:r>
        <w:rPr>
          <w:i/>
          <w:iCs/>
        </w:rPr>
        <w:t xml:space="preserve">POWER Data Access Viewer — Daily Point (AG Community)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https://power.larc.nasa.gov</w:t>
        </w:r>
      </w:hyperlink>
      <w:r>
        <w:t xml:space="preserve">.</w:t>
      </w:r>
    </w:p>
    <w:bookmarkEnd w:id="82"/>
    <w:bookmarkStart w:id="83" w:name="ref-ogundele2023"/>
    <w:p>
      <w:pPr>
        <w:pStyle w:val="Bibliography"/>
      </w:pPr>
      <w:r>
        <w:t xml:space="preserve">Ogundele, F. et al.</w:t>
      </w:r>
      <w:r>
        <w:t xml:space="preserve"> 2023.</w:t>
      </w:r>
      <w:r>
        <w:t xml:space="preserve"> </w:t>
      </w:r>
      <w:r>
        <w:t xml:space="preserve">“Mapping Urban Agriculture in Lagos Using OpenStreetMap and Remote Sensing.”</w:t>
      </w:r>
      <w:r>
        <w:t xml:space="preserve"> </w:t>
      </w:r>
      <w:r>
        <w:rPr>
          <w:i/>
          <w:iCs/>
        </w:rPr>
        <w:t xml:space="preserve">African Geographical Review</w:t>
      </w:r>
      <w:r>
        <w:t xml:space="preserve"> </w:t>
      </w:r>
      <w:r>
        <w:t xml:space="preserve">42: 45–62.</w:t>
      </w:r>
    </w:p>
    <w:bookmarkEnd w:id="83"/>
    <w:bookmarkStart w:id="84" w:name="ref-olanrewaju2022"/>
    <w:p>
      <w:pPr>
        <w:pStyle w:val="Bibliography"/>
      </w:pPr>
      <w:r>
        <w:t xml:space="preserve">Olanrewaju, O. et al.</w:t>
      </w:r>
      <w:r>
        <w:t xml:space="preserve"> 2022.</w:t>
      </w:r>
      <w:r>
        <w:t xml:space="preserve"> </w:t>
      </w:r>
      <w:r>
        <w:t xml:space="preserve">“Circular Economy and Urban Agriculture: Compost Loops in Nigerian Cities.”</w:t>
      </w:r>
      <w:r>
        <w:t xml:space="preserve"> </w:t>
      </w:r>
      <w:r>
        <w:rPr>
          <w:i/>
          <w:iCs/>
        </w:rPr>
        <w:t xml:space="preserve">Resources, Conservation and Recycling</w:t>
      </w:r>
      <w:r>
        <w:t xml:space="preserve"> </w:t>
      </w:r>
      <w:r>
        <w:t xml:space="preserve">185: 106412.</w:t>
      </w:r>
    </w:p>
    <w:bookmarkEnd w:id="84"/>
    <w:bookmarkStart w:id="86" w:name="ref-openstreetmap2024"/>
    <w:p>
      <w:pPr>
        <w:pStyle w:val="Bibliography"/>
      </w:pPr>
      <w:r>
        <w:t xml:space="preserve">OpenStreetMap contributors. 2024.</w:t>
      </w:r>
      <w:r>
        <w:t xml:space="preserve"> </w:t>
      </w:r>
      <w:r>
        <w:rPr>
          <w:i/>
          <w:iCs/>
        </w:rPr>
        <w:t xml:space="preserve">OpenStreetMap and Overpass API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https://www.openstreetmap.org and https://overpass-api.de</w:t>
        </w:r>
      </w:hyperlink>
      <w:r>
        <w:t xml:space="preserve">.</w:t>
      </w:r>
    </w:p>
    <w:bookmarkEnd w:id="86"/>
    <w:bookmarkStart w:id="87" w:name="ref-orhevba2024"/>
    <w:p>
      <w:pPr>
        <w:pStyle w:val="Bibliography"/>
      </w:pPr>
      <w:r>
        <w:t xml:space="preserve">Orhevba, A. et al.</w:t>
      </w:r>
      <w:r>
        <w:t xml:space="preserve"> 2024.</w:t>
      </w:r>
      <w:r>
        <w:t xml:space="preserve"> </w:t>
      </w:r>
      <w:r>
        <w:t xml:space="preserve">“Urban Agriculture and Food Security in Nigeria: A Review.”</w:t>
      </w:r>
      <w:r>
        <w:t xml:space="preserve"> </w:t>
      </w:r>
      <w:r>
        <w:rPr>
          <w:i/>
          <w:iCs/>
        </w:rPr>
        <w:t xml:space="preserve">Nigerian Journal of Agriculture</w:t>
      </w:r>
      <w:r>
        <w:t xml:space="preserve">.</w:t>
      </w:r>
    </w:p>
    <w:bookmarkEnd w:id="87"/>
    <w:bookmarkStart w:id="88" w:name="ref-pebesma2018"/>
    <w:p>
      <w:pPr>
        <w:pStyle w:val="Bibliography"/>
      </w:pPr>
      <w:r>
        <w:t xml:space="preserve">Pebesma, E. 2018.</w:t>
      </w:r>
      <w:r>
        <w:t xml:space="preserve"> </w:t>
      </w:r>
      <w:r>
        <w:t xml:space="preserve">“Simple Features for r: Standardized Support for Spatial Vector Data.”</w:t>
      </w:r>
      <w:r>
        <w:t xml:space="preserve"> </w:t>
      </w:r>
      <w:r>
        <w:rPr>
          <w:i/>
          <w:iCs/>
        </w:rPr>
        <w:t xml:space="preserve">The R Journal</w:t>
      </w:r>
      <w:r>
        <w:t xml:space="preserve"> </w:t>
      </w:r>
      <w:r>
        <w:t xml:space="preserve">10 (1): 439–46.</w:t>
      </w:r>
    </w:p>
    <w:bookmarkEnd w:id="88"/>
    <w:bookmarkStart w:id="89" w:name="ref-pebesma2023"/>
    <w:p>
      <w:pPr>
        <w:pStyle w:val="Bibliography"/>
      </w:pPr>
      <w:r>
        <w:t xml:space="preserve">Pebesma, E., and R. Bivand. 2023.</w:t>
      </w:r>
      <w:r>
        <w:t xml:space="preserve"> </w:t>
      </w:r>
      <w:r>
        <w:t xml:space="preserve">“Spatial Data Science with r: Simple Features and Stars Update 2023.”</w:t>
      </w:r>
      <w:r>
        <w:t xml:space="preserve"> </w:t>
      </w:r>
      <w:r>
        <w:rPr>
          <w:i/>
          <w:iCs/>
        </w:rPr>
        <w:t xml:space="preserve">Journal of Geographical Systems</w:t>
      </w:r>
      <w:r>
        <w:t xml:space="preserve">.</w:t>
      </w:r>
    </w:p>
    <w:bookmarkEnd w:id="89"/>
    <w:bookmarkStart w:id="90" w:name="ref-stackhouse2023"/>
    <w:p>
      <w:pPr>
        <w:pStyle w:val="Bibliography"/>
      </w:pPr>
      <w:r>
        <w:t xml:space="preserve">Stackhouse, P. W. et al.</w:t>
      </w:r>
      <w:r>
        <w:t xml:space="preserve"> 2023.</w:t>
      </w:r>
      <w:r>
        <w:t xml:space="preserve"> </w:t>
      </w:r>
      <w:r>
        <w:t xml:space="preserve">“NASA POWER Agroclimatology Validation for West Africa.”</w:t>
      </w:r>
      <w:r>
        <w:t xml:space="preserve"> </w:t>
      </w:r>
      <w:r>
        <w:rPr>
          <w:i/>
          <w:iCs/>
        </w:rPr>
        <w:t xml:space="preserve">Renewable Energy and Environmental Sustainability</w:t>
      </w:r>
      <w:r>
        <w:t xml:space="preserve"> </w:t>
      </w:r>
      <w:r>
        <w:t xml:space="preserve">8: 12.</w:t>
      </w:r>
    </w:p>
    <w:bookmarkEnd w:id="90"/>
    <w:bookmarkStart w:id="91" w:name="ref-udoh2022"/>
    <w:p>
      <w:pPr>
        <w:pStyle w:val="Bibliography"/>
      </w:pPr>
      <w:r>
        <w:t xml:space="preserve">Udoh, E. et al.</w:t>
      </w:r>
      <w:r>
        <w:t xml:space="preserve"> 2022.</w:t>
      </w:r>
      <w:r>
        <w:t xml:space="preserve"> </w:t>
      </w:r>
      <w:r>
        <w:t xml:space="preserve">“Urban Farming and Household Food Security in Nigerian Cities.”</w:t>
      </w:r>
      <w:r>
        <w:t xml:space="preserve"> </w:t>
      </w:r>
      <w:r>
        <w:rPr>
          <w:i/>
          <w:iCs/>
        </w:rPr>
        <w:t xml:space="preserve">Food Security</w:t>
      </w:r>
      <w:r>
        <w:t xml:space="preserve">.</w:t>
      </w:r>
    </w:p>
    <w:bookmarkEnd w:id="91"/>
    <w:bookmarkStart w:id="92" w:name="ref-undesa2022"/>
    <w:p>
      <w:pPr>
        <w:pStyle w:val="Bibliography"/>
      </w:pPr>
      <w:r>
        <w:t xml:space="preserve">UN DESA Population Division. 2022.</w:t>
      </w:r>
      <w:r>
        <w:t xml:space="preserve"> </w:t>
      </w:r>
      <w:r>
        <w:t xml:space="preserve">“World Urbanization Prospects 2022: Nigeria Profile.”</w:t>
      </w:r>
      <w:r>
        <w:t xml:space="preserve"> </w:t>
      </w:r>
      <w:r>
        <w:rPr>
          <w:i/>
          <w:iCs/>
        </w:rPr>
        <w:t xml:space="preserve">United Nations</w:t>
      </w:r>
      <w:r>
        <w:t xml:space="preserve">.</w:t>
      </w:r>
    </w:p>
    <w:bookmarkEnd w:id="92"/>
    <w:bookmarkStart w:id="94" w:name="ref-worldbank2023"/>
    <w:p>
      <w:pPr>
        <w:pStyle w:val="Bibliography"/>
      </w:pPr>
      <w:r>
        <w:t xml:space="preserve">World Bank. 2023.</w:t>
      </w:r>
      <w:r>
        <w:t xml:space="preserve"> </w:t>
      </w:r>
      <w:r>
        <w:rPr>
          <w:i/>
          <w:iCs/>
        </w:rPr>
        <w:t xml:space="preserve">World Development Indicators 2023: Nigeria at-a-Glance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https://data.worldbank.org/country/nigeria</w:t>
        </w:r>
      </w:hyperlink>
      <w:r>
        <w:t xml:space="preserve">.</w:t>
      </w:r>
    </w:p>
    <w:bookmarkEnd w:id="94"/>
    <w:bookmarkStart w:id="96" w:name="ref-worldbank2024"/>
    <w:p>
      <w:pPr>
        <w:pStyle w:val="Bibliography"/>
      </w:pPr>
      <w:r>
        <w:t xml:space="preserve">World Bank. 2024.</w:t>
      </w:r>
      <w:r>
        <w:t xml:space="preserve"> </w:t>
      </w:r>
      <w:r>
        <w:rPr>
          <w:i/>
          <w:iCs/>
        </w:rPr>
        <w:t xml:space="preserve">World Development Indicators: Urban Population, Food Production Index, Prevalence of Undernourishment</w:t>
      </w:r>
      <w:r>
        <w:t xml:space="preserve">.</w:t>
      </w:r>
      <w:r>
        <w:t xml:space="preserve"> </w:t>
      </w:r>
      <w:hyperlink r:id="rId95">
        <w:r>
          <w:rPr>
            <w:rStyle w:val="Hyperlink"/>
          </w:rPr>
          <w:t xml:space="preserve">https://api.worldbank.org/v2/country/NG/indicator/SP.URB.TOTL;AG.PRD.FOOD.XD;SN.ITK.DEFC.ZS</w:t>
        </w:r>
      </w:hyperlink>
      <w:r>
        <w:t xml:space="preserve">.</w:t>
      </w:r>
    </w:p>
    <w:bookmarkEnd w:id="96"/>
    <w:bookmarkStart w:id="97" w:name="ref-zezza2010"/>
    <w:p>
      <w:pPr>
        <w:pStyle w:val="Bibliography"/>
      </w:pPr>
      <w:r>
        <w:t xml:space="preserve">Zezza, A., and L. Tasciotti. 2010.</w:t>
      </w:r>
      <w:r>
        <w:t xml:space="preserve"> </w:t>
      </w:r>
      <w:r>
        <w:t xml:space="preserve">“Urban Agriculture, Poverty and Food Security.”</w:t>
      </w:r>
      <w:r>
        <w:t xml:space="preserve"> </w:t>
      </w:r>
      <w:r>
        <w:rPr>
          <w:i/>
          <w:iCs/>
        </w:rPr>
        <w:t xml:space="preserve">Food Policy</w:t>
      </w:r>
      <w:r>
        <w:t xml:space="preserve"> </w:t>
      </w:r>
      <w:r>
        <w:t xml:space="preserve">35: 265–73.</w:t>
      </w:r>
    </w:p>
    <w:bookmarkEnd w:id="97"/>
    <w:bookmarkEnd w:id="9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Formatting compliance (flyer):</w:t>
      </w:r>
      <w:r>
        <w:t xml:space="preserve"> </w:t>
      </w:r>
      <w:r>
        <w:t xml:space="preserve">Times New Roman 12pt, 1.5 spacing, ≤12 pages, MS Word. Render via</w:t>
      </w:r>
      <w:r>
        <w:t xml:space="preserve"> </w:t>
      </w:r>
      <w:r>
        <w:rPr>
          <w:rStyle w:val="VerbatimChar"/>
        </w:rPr>
        <w:t xml:space="preserve">quarto render manuscript.qmd --to docx</w:t>
      </w:r>
      <w:r>
        <w:t xml:space="preserve"> </w:t>
      </w:r>
      <w:r>
        <w:t xml:space="preserve">and verify page count in Word before emailing to</w:t>
      </w:r>
      <w:r>
        <w:t xml:space="preserve"> </w:t>
      </w:r>
      <w:r>
        <w:rPr>
          <w:rStyle w:val="VerbatimChar"/>
        </w:rPr>
        <w:t xml:space="preserve">fpksstconf2026@gmail.com</w:t>
      </w:r>
      <w:r>
        <w:t xml:space="preserve"> </w:t>
      </w:r>
      <w:r>
        <w:t xml:space="preserve">(abstract 5 Oct 2026, full paper 9 Oct 2026). Fees: Physical ₦13,000 / Virtual ₦10,000 / Students ₦5,000 — First Bank Plc, School Of Science Conference Fpk, 2047116096.</w:t>
      </w:r>
    </w:p>
    <w:p>
      <w:pPr>
        <w:pStyle w:val="BodyText"/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All numbers trace to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scripts/fetch_*.py</w:t>
      </w:r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76" Target="https://CRAN.R-project.org/package=terra" TargetMode="External" /><Relationship Type="http://schemas.openxmlformats.org/officeDocument/2006/relationships/hyperlink" Id="rId95" Target="https://api.worldbank.org/v2/country/NG/indicator/SP.URB.TOTL;AG.PRD.FOOD.XD;SN.ITK.DEFC.ZS" TargetMode="External" /><Relationship Type="http://schemas.openxmlformats.org/officeDocument/2006/relationships/hyperlink" Id="rId93" Target="https://data.worldbank.org/country/nigeria" TargetMode="External" /><Relationship Type="http://schemas.openxmlformats.org/officeDocument/2006/relationships/hyperlink" Id="rId62" Target="https://doi.org/10.1111/j.1538-4632.1995.tb00338.x" TargetMode="External" /><Relationship Type="http://schemas.openxmlformats.org/officeDocument/2006/relationships/hyperlink" Id="rId74" Target="https://gadm.org" TargetMode="External" /><Relationship Type="http://schemas.openxmlformats.org/officeDocument/2006/relationships/hyperlink" Id="rId81" Target="https://power.larc.nasa.gov" TargetMode="External" /><Relationship Type="http://schemas.openxmlformats.org/officeDocument/2006/relationships/hyperlink" Id="rId69" Target="https://www.fao.org/faostat/" TargetMode="External" /><Relationship Type="http://schemas.openxmlformats.org/officeDocument/2006/relationships/hyperlink" Id="rId71" Target="https://www.fao.org/publications/sofi/2023" TargetMode="External" /><Relationship Type="http://schemas.openxmlformats.org/officeDocument/2006/relationships/hyperlink" Id="rId85" Target="https://www.openstreetmap.org and https://overpass-api.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CRAN.R-project.org/package=terra" TargetMode="External" /><Relationship Type="http://schemas.openxmlformats.org/officeDocument/2006/relationships/hyperlink" Id="rId95" Target="https://api.worldbank.org/v2/country/NG/indicator/SP.URB.TOTL;AG.PRD.FOOD.XD;SN.ITK.DEFC.ZS" TargetMode="External" /><Relationship Type="http://schemas.openxmlformats.org/officeDocument/2006/relationships/hyperlink" Id="rId93" Target="https://data.worldbank.org/country/nigeria" TargetMode="External" /><Relationship Type="http://schemas.openxmlformats.org/officeDocument/2006/relationships/hyperlink" Id="rId62" Target="https://doi.org/10.1111/j.1538-4632.1995.tb00338.x" TargetMode="External" /><Relationship Type="http://schemas.openxmlformats.org/officeDocument/2006/relationships/hyperlink" Id="rId74" Target="https://gadm.org" TargetMode="External" /><Relationship Type="http://schemas.openxmlformats.org/officeDocument/2006/relationships/hyperlink" Id="rId81" Target="https://power.larc.nasa.gov" TargetMode="External" /><Relationship Type="http://schemas.openxmlformats.org/officeDocument/2006/relationships/hyperlink" Id="rId69" Target="https://www.fao.org/faostat/" TargetMode="External" /><Relationship Type="http://schemas.openxmlformats.org/officeDocument/2006/relationships/hyperlink" Id="rId71" Target="https://www.fao.org/publications/sofi/2023" TargetMode="External" /><Relationship Type="http://schemas.openxmlformats.org/officeDocument/2006/relationships/hyperlink" Id="rId85" Target="https://www.openstreetmap.org and https://overpass-api.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 Agriculture and Urban Food Security in Nigeria: A Spatial Statistics Perspective</dc:title>
  <dc:creator>Yohanna — batestguy (presenting author)</dc:creator>
  <cp:keywords>urban agriculture, urban food security, Moran’s I, LISA, climate-smart agriculture, Nigeria</cp:keywords>
  <dcterms:created xsi:type="dcterms:W3CDTF">2026-08-26T02:40:55Z</dcterms:created>
  <dcterms:modified xsi:type="dcterms:W3CDTF">2026-08-26T02:40:55Z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date">
    <vt:lpwstr>26 August 2026</vt:lpwstr>
  </property>
  <property fmtid="{D5CDD505-2E9C-101B-9397-08002B2CF9AE}" pid="8" name="date-format">
    <vt:lpwstr>D MMMM YYYY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Federal Polytechnic Kaltungo — 2nd Annual National Multidisciplinary Conference 2026 (Sub-theme 6: Climate-Smart Agriculture, Food Security and Rural Transformation; Secondary: 10 GIS &amp; Urban Planning, 13 Circular Economy &amp; Environmental Sustainability)</vt:lpwstr>
  </property>
  <property fmtid="{D5CDD505-2E9C-101B-9397-08002B2CF9AE}" pid="15" name="toc-title">
    <vt:lpwstr>Table of contents</vt:lpwstr>
  </property>
</Properties>
</file>