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Urban Agriculture and Urban Food Security in Nigeria: A Spatial Statistics Perspective</w:t>
      </w:r>
    </w:p>
    <w:p>
      <w:pPr>
        <w:pStyle w:val="Subtitle"/>
      </w:pPr>
      <w:r>
        <w:t xml:space="preserve">Federal Polytechnic Kaltungo — 2nd Annual National Multidisciplinary Conference 2026 (Sub-theme 6: Climate-Smart Agriculture, Food Security and Rural Transformation; Secondary: 10 GIS &amp; Urban Planning, 13 Circular Economy &amp; Environmental Sustainability)</w:t>
      </w:r>
    </w:p>
    <w:p>
      <w:pPr>
        <w:pStyle w:val="Author"/>
      </w:pPr>
      <w:r>
        <w:t xml:space="preserve">Yohanna — batestguy (presenting author)</w:t>
      </w:r>
    </w:p>
    <w:p>
      <w:pPr>
        <w:pStyle w:val="Date"/>
      </w:pPr>
      <w:r>
        <w:t xml:space="preserve">26 August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Urban agriculture is promoted as a climate-smart lever for food security, yet its spatial pattern and local food-security linkage remain under-quantified in Nigeria. This paper freezes verifiable open data — 484 OpenStreetMap allotment/farmland/garden footprints (Abuja 32, Lagos 130, Kano 189, Port Harcourt 88, Gombe 45), World Bank urban population and food-production indices (2000–2024; 75 rows) and NASA POWER daily climate (5 cities × 365 d, 2023) — and applies spatial statistics at LGA level (GADM 4.1, 775 LGAs). Global Moran’s I on urban-agriculture counts is 0.158 (z=8.47, p&lt;0.001) and on density (points km⁻²) is 0.300 (z=17.6, p&lt;0.001), indicating strong spatial clustering. LISA identifies high-high clusters in Kano metropolis (Ungogo 90 pts, Tarauni 25, Kumbotso 17) and Obio/Akpor (Rivers, 64 pts) and low-low surrounds in savanna LGAs. Climate contrasts are sharp (annual rainfall 404 mm Kano vs 1,891 mm Port Harcourt). Results support spatially-targeted allotment zoning and compost-loop circularity as two policy levers bridging urban and rural food systems.</w:t>
      </w:r>
    </w:p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Urban agriculture in Nigerian cities — from dry-season fadama along riverbeds to rooftop and peri-urban allotments — is increasingly framed as a climate-smart lever for food security and community resilience</w:t>
      </w:r>
      <w:r>
        <w:t xml:space="preserve"> </w:t>
      </w:r>
      <w:r>
        <w:t xml:space="preserve">(FAO 2024)</w:t>
      </w:r>
      <w:r>
        <w:t xml:space="preserve">. Yet the evidence remains fragmented.</w:t>
      </w:r>
    </w:p>
    <w:p>
      <w:pPr>
        <w:pStyle w:val="BodyText"/>
      </w:pPr>
      <w:r>
        <w:rPr>
          <w:b/>
          <w:bCs/>
        </w:rPr>
        <w:t xml:space="preserve">Contribution:</w:t>
      </w:r>
      <w:r>
        <w:t xml:space="preserve"> </w:t>
      </w:r>
      <w:r>
        <w:t xml:space="preserve">This paper (i) freezes verifiable, API-sourced footprints of urban agriculture (OSM Overpass) and food-security indicators (World Bank/FAO/NASA POWER), (ii) applies spatial autocorrelation and spatial regression (</w:t>
      </w:r>
      <w:r>
        <w:rPr>
          <w:rStyle w:val="VerbatimChar"/>
        </w:rPr>
        <w:t xml:space="preserve">sf</w:t>
      </w:r>
      <w:r>
        <w:t xml:space="preserve">/</w:t>
      </w:r>
      <w:r>
        <w:rPr>
          <w:rStyle w:val="VerbatimChar"/>
        </w:rPr>
        <w:t xml:space="preserve">spdep</w:t>
      </w:r>
      <w:r>
        <w:t xml:space="preserve">/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in R 4.5.2), and (iii) maps suitability for scaling.</w:t>
      </w:r>
    </w:p>
    <w:bookmarkEnd w:id="9"/>
    <w:bookmarkStart w:id="12" w:name="study-area-and-data"/>
    <w:p>
      <w:pPr>
        <w:pStyle w:val="Heading1"/>
      </w:pPr>
      <w:r>
        <w:t xml:space="preserve">2. Study Area and Data</w:t>
      </w:r>
    </w:p>
    <w:bookmarkStart w:id="10" w:name="study-area"/>
    <w:p>
      <w:pPr>
        <w:pStyle w:val="Heading2"/>
      </w:pPr>
      <w:r>
        <w:t xml:space="preserve">2.1 Study Area</w:t>
      </w:r>
    </w:p>
    <w:p>
      <w:pPr>
        <w:pStyle w:val="FirstParagraph"/>
      </w:pPr>
      <w:r>
        <w:t xml:space="preserve">Five cities stratified by agro-ecological and urban-form variation: Abuja (planned capital), Lagos (coastal megacity), Kano (Sahelian), Port Harcourt (Niger Delta), Gombe (savanna, host region).</w:t>
      </w:r>
    </w:p>
    <w:bookmarkEnd w:id="10"/>
    <w:bookmarkStart w:id="11" w:name="X72b4293a7efb7d4fc756eb73b3fc22e251f857f"/>
    <w:p>
      <w:pPr>
        <w:pStyle w:val="Heading2"/>
      </w:pPr>
      <w:r>
        <w:t xml:space="preserve">2.2 Data (frozen via APIs, provenance in</w:t>
      </w:r>
      <w:r>
        <w:t xml:space="preserve"> </w:t>
      </w:r>
      <w:r>
        <w:rPr>
          <w:rStyle w:val="VerbatimChar"/>
        </w:rPr>
        <w:t xml:space="preserve">data/raw/provenance.json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Layer retained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Urban agriculture footprints</w:t>
            </w:r>
          </w:p>
        </w:tc>
        <w:tc>
          <w:tcPr/>
          <w:p>
            <w:pPr>
              <w:pStyle w:val="Compact"/>
            </w:pPr>
            <w:r>
              <w:t xml:space="preserve">OSM Overpass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https://overpass-api.de/api/interpreter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landuse=allotments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farmland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farmyard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leisure=garden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Urban population / food indices</w:t>
            </w:r>
          </w:p>
        </w:tc>
        <w:tc>
          <w:tcPr/>
          <w:p>
            <w:pPr>
              <w:pStyle w:val="Compact"/>
            </w:pPr>
            <w:r>
              <w:t xml:space="preserve">World Bank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https://api.worldbank.org/v2/...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SP.URB.TOTL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AG.PRD.FOOD.XD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Climate</w:t>
            </w:r>
          </w:p>
        </w:tc>
        <w:tc>
          <w:tcPr/>
          <w:p>
            <w:pPr>
              <w:pStyle w:val="Compact"/>
            </w:pPr>
            <w:r>
              <w:t xml:space="preserve">NASA POWER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https://power.larc.nasa.gov/api/temporal/daily/point</w:t>
            </w:r>
          </w:p>
        </w:tc>
        <w:tc>
          <w:tcPr/>
          <w:p>
            <w:pPr>
              <w:pStyle w:val="Compact"/>
            </w:pPr>
            <w:r>
              <w:t xml:space="preserve">Precipitation, T2M, RH2M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Boundaries</w:t>
            </w:r>
          </w:p>
        </w:tc>
        <w:tc>
          <w:tcPr/>
          <w:p>
            <w:pPr>
              <w:pStyle w:val="Compact"/>
            </w:pPr>
            <w:r>
              <w:t xml:space="preserve">GADM/HDX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State/LGA polygons</w:t>
            </w:r>
          </w:p>
        </w:tc>
      </w:tr>
    </w:tbl>
    <w:p>
      <w:pPr>
        <w:pStyle w:val="BodyText"/>
      </w:pPr>
      <w:r>
        <w:t xml:space="preserve">All pulls are one-time and frozen to</w:t>
      </w:r>
      <w:r>
        <w:t xml:space="preserve"> </w:t>
      </w:r>
      <w:r>
        <w:rPr>
          <w:rStyle w:val="VerbatimChar"/>
        </w:rPr>
        <w:t xml:space="preserve">data/raw/*.csv</w:t>
      </w:r>
      <w:r>
        <w:t xml:space="preserve">. Analysis reads only the frozen CSVs.</w:t>
      </w:r>
    </w:p>
    <w:bookmarkEnd w:id="11"/>
    <w:bookmarkEnd w:id="12"/>
    <w:bookmarkStart w:id="17" w:name="methods"/>
    <w:p>
      <w:pPr>
        <w:pStyle w:val="Heading1"/>
      </w:pPr>
      <w:r>
        <w:t xml:space="preserve">3. Methods</w:t>
      </w:r>
    </w:p>
    <w:bookmarkStart w:id="13" w:name="spatial-descriptive"/>
    <w:p>
      <w:pPr>
        <w:pStyle w:val="Heading2"/>
      </w:pPr>
      <w:r>
        <w:t xml:space="preserve">3.1 Spatial descriptive</w:t>
      </w:r>
    </w:p>
    <w:p>
      <w:pPr>
        <w:pStyle w:val="Compact"/>
        <w:numPr>
          <w:ilvl w:val="0"/>
          <w:numId w:val="1001"/>
        </w:numPr>
      </w:pPr>
      <w:r>
        <w:t xml:space="preserve">Density (allotments km⁻²), kernel density (</w:t>
      </w:r>
      <w:r>
        <w:rPr>
          <w:rStyle w:val="VerbatimChar"/>
        </w:rPr>
        <w:t xml:space="preserve">spatstat</w:t>
      </w:r>
      <w:r>
        <w:t xml:space="preserve">), nearest-neighbour.</w:t>
      </w:r>
    </w:p>
    <w:bookmarkEnd w:id="13"/>
    <w:bookmarkStart w:id="14" w:name="spatial-dependence"/>
    <w:p>
      <w:pPr>
        <w:pStyle w:val="Heading2"/>
      </w:pPr>
      <w:r>
        <w:t xml:space="preserve">3.2 Spatial dependence</w:t>
      </w:r>
    </w:p>
    <w:p>
      <w:pPr>
        <w:pStyle w:val="Compact"/>
        <w:numPr>
          <w:ilvl w:val="0"/>
          <w:numId w:val="1002"/>
        </w:numPr>
      </w:pPr>
      <w:r>
        <w:t xml:space="preserve">Global Moran’s I (</w:t>
      </w:r>
      <w:r>
        <w:rPr>
          <w:rStyle w:val="VerbatimChar"/>
        </w:rPr>
        <w:t xml:space="preserve">spdep::moran.test</w:t>
      </w:r>
      <w:r>
        <w:t xml:space="preserve">) and LISA (</w:t>
      </w:r>
      <w:r>
        <w:rPr>
          <w:rStyle w:val="VerbatimChar"/>
        </w:rPr>
        <w:t xml:space="preserve">localmoran</w:t>
      </w:r>
      <w:r>
        <w:t xml:space="preserve">) on food-security indicator by LGA.</w:t>
      </w:r>
    </w:p>
    <w:bookmarkEnd w:id="14"/>
    <w:bookmarkStart w:id="15" w:name="spatial-regression"/>
    <w:p>
      <w:pPr>
        <w:pStyle w:val="Heading2"/>
      </w:pPr>
      <w:r>
        <w:t xml:space="preserve">3.3 Spatial regression</w:t>
      </w:r>
    </w:p>
    <w:p>
      <w:pPr>
        <w:pStyle w:val="Compact"/>
        <w:numPr>
          <w:ilvl w:val="0"/>
          <w:numId w:val="1003"/>
        </w:numPr>
      </w:pPr>
      <w:r>
        <w:t xml:space="preserve">Spatial lag</w:t>
      </w:r>
      <w:r>
        <w:t xml:space="preserve"> </w:t>
      </w:r>
      <w:r>
        <w:rPr>
          <w:rStyle w:val="VerbatimChar"/>
        </w:rPr>
        <w:t xml:space="preserve">y = ρWy + Xβ + ε</w:t>
      </w:r>
      <w:r>
        <w:t xml:space="preserve"> </w:t>
      </w:r>
      <w:r>
        <w:t xml:space="preserve">and spatial error</w:t>
      </w:r>
      <w:r>
        <w:t xml:space="preserve"> </w:t>
      </w:r>
      <w:r>
        <w:rPr>
          <w:rStyle w:val="VerbatimChar"/>
        </w:rPr>
        <w:t xml:space="preserve">y = Xβ + u, u = λWu + ε</w:t>
      </w:r>
      <w:r>
        <w:t xml:space="preserve"> </w:t>
      </w:r>
      <w:r>
        <w:t xml:space="preserve">(</w:t>
      </w:r>
      <w:r>
        <w:rPr>
          <w:rStyle w:val="VerbatimChar"/>
        </w:rPr>
        <w:t xml:space="preserve">spatialreg::lagsarlm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errorsarlm</w:t>
      </w:r>
      <w:r>
        <w:t xml:space="preserve">), covariates: urban ag density, rainfall, temperature, population density. Model choice via AIC / likelihood ratio.</w:t>
      </w:r>
    </w:p>
    <w:bookmarkEnd w:id="15"/>
    <w:bookmarkStart w:id="16" w:name="suitability-overlay"/>
    <w:p>
      <w:pPr>
        <w:pStyle w:val="Heading2"/>
      </w:pPr>
      <w:r>
        <w:t xml:space="preserve">3.4 Suitability overlay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terra</w:t>
      </w:r>
      <w:r>
        <w:t xml:space="preserve"> </w:t>
      </w:r>
      <w:r>
        <w:t xml:space="preserve">weighted overlay: proximity to markets, water, land availability.</w:t>
      </w:r>
    </w:p>
    <w:p>
      <w:pPr>
        <w:pStyle w:val="FirstParagraph"/>
      </w:pPr>
      <w:r>
        <w:rPr>
          <w:i/>
          <w:iCs/>
        </w:rPr>
        <w:t xml:space="preserve">Environment:</w:t>
      </w:r>
      <w:r>
        <w:t xml:space="preserve"> </w:t>
      </w:r>
      <w:r>
        <w:t xml:space="preserve">R 4.5.2 (</w:t>
      </w:r>
      <w:r>
        <w:rPr>
          <w:rStyle w:val="VerbatimChar"/>
        </w:rPr>
        <w:t xml:space="preserve">sf 1.1.2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 1.9.46</w:t>
      </w:r>
      <w:r>
        <w:t xml:space="preserve">,</w:t>
      </w:r>
      <w:r>
        <w:t xml:space="preserve"> </w:t>
      </w:r>
      <w:r>
        <w:rPr>
          <w:rStyle w:val="VerbatimChar"/>
        </w:rPr>
        <w:t xml:space="preserve">spdep 1.4.2</w:t>
      </w:r>
      <w:r>
        <w:t xml:space="preserve">); Python</w:t>
      </w:r>
      <w:r>
        <w:t xml:space="preserve"> </w:t>
      </w:r>
      <w:r>
        <w:rPr>
          <w:rStyle w:val="VerbatimChar"/>
        </w:rPr>
        <w:t xml:space="preserve">ds-general</w:t>
      </w:r>
      <w:r>
        <w:t xml:space="preserve"> </w:t>
      </w:r>
      <w:r>
        <w:t xml:space="preserve">(3.12) for API harvest. See</w:t>
      </w:r>
      <w:r>
        <w:t xml:space="preserve"> </w:t>
      </w:r>
      <w:r>
        <w:rPr>
          <w:rStyle w:val="VerbatimChar"/>
        </w:rPr>
        <w:t xml:space="preserve">ENVIRONMENTS.md</w:t>
      </w:r>
      <w:r>
        <w:t xml:space="preserve">.</w:t>
      </w:r>
    </w:p>
    <w:bookmarkEnd w:id="16"/>
    <w:bookmarkEnd w:id="17"/>
    <w:bookmarkStart w:id="23" w:name="results"/>
    <w:p>
      <w:pPr>
        <w:pStyle w:val="Heading1"/>
      </w:pPr>
      <w:r>
        <w:t xml:space="preserve">4. Results</w:t>
      </w:r>
    </w:p>
    <w:bookmarkStart w:id="18" w:name="X347cef842ef5ce1af5f6de2f0b207d89c3da5bf"/>
    <w:p>
      <w:pPr>
        <w:pStyle w:val="Heading2"/>
      </w:pPr>
      <w:r>
        <w:t xml:space="preserve">4.1 Urban agriculture footprints (OSM Overpass, frozen 25 Aug 2026)</w:t>
      </w:r>
    </w:p>
    <w:p>
      <w:pPr>
        <w:pStyle w:val="FirstParagraph"/>
      </w:pPr>
      <w:r>
        <w:t xml:space="preserve">484 verifiable footprints were retrieved via per-tag Overpass queries (</w:t>
      </w:r>
      <w:r>
        <w:rPr>
          <w:rStyle w:val="VerbatimChar"/>
        </w:rPr>
        <w:t xml:space="preserve">landuse=allotments/farmland/farmyard</w:t>
      </w:r>
      <w:r>
        <w:t xml:space="preserve">,</w:t>
      </w:r>
      <w:r>
        <w:t xml:space="preserve"> </w:t>
      </w:r>
      <w:r>
        <w:rPr>
          <w:rStyle w:val="VerbatimChar"/>
        </w:rPr>
        <w:t xml:space="preserve">leisure=garden</w:t>
      </w:r>
      <w:r>
        <w:t xml:space="preserve">; deduped by</w:t>
      </w:r>
      <w:r>
        <w:t xml:space="preserve"> </w:t>
      </w:r>
      <w:r>
        <w:rPr>
          <w:rStyle w:val="VerbatimChar"/>
        </w:rPr>
        <w:t xml:space="preserve">type+id</w:t>
      </w:r>
      <w:r>
        <w:t xml:space="preserve">; provenance</w:t>
      </w:r>
      <w:r>
        <w:t xml:space="preserve"> </w:t>
      </w:r>
      <w:r>
        <w:rPr>
          <w:rStyle w:val="VerbatimChar"/>
        </w:rPr>
        <w:t xml:space="preserve">data/raw/provenance.json</w:t>
      </w:r>
      <w:r>
        <w:t xml:space="preserve"> </w:t>
      </w:r>
      <w:r>
        <w:t xml:space="preserve">ODbL). City totals: Kano 189 (39.0%), Lagos 130 (26.9%), Port Harcourt 88 (18.2%), Gombe 45 (9.3%), Abuja 32 (6.6%). At LGA level (GADM 4.1, 775 LGAs), only</w:t>
      </w:r>
      <w:r>
        <w:t xml:space="preserve"> </w:t>
      </w:r>
      <w:r>
        <w:rPr>
          <w:b/>
          <w:bCs/>
        </w:rPr>
        <w:t xml:space="preserve">39 LGAs (5.0%)</w:t>
      </w:r>
      <w:r>
        <w:t xml:space="preserve"> </w:t>
      </w:r>
      <w:r>
        <w:t xml:space="preserve">contain ≥1 point; the distribution is highly concentrated: Ungogo (Kano) 90, Obio/Akpor (Rivers) 64, Ikorodu (Lagos) 53, Akko (Gombe) 45, Tarauni 25, Ikwerre 22, Gezawa 20. Maximum density is</w:t>
      </w:r>
      <w:r>
        <w:t xml:space="preserve"> </w:t>
      </w:r>
      <w:r>
        <w:rPr>
          <w:b/>
          <w:bCs/>
        </w:rPr>
        <w:t xml:space="preserve">1.06 points km⁻²</w:t>
      </w:r>
      <w:r>
        <w:t xml:space="preserve"> </w:t>
      </w:r>
      <w:r>
        <w:t xml:space="preserve">(Ungogo). Completeness varies by city (Kano highest, Abuja lowest) — documented as a limitation warranting density normalisation.</w:t>
      </w:r>
    </w:p>
    <w:p>
      <w:pPr>
        <w:pStyle w:val="BodyText"/>
      </w:pPr>
      <w:r>
        <w:rPr>
          <w:b/>
          <w:bCs/>
        </w:rPr>
        <w:t xml:space="preserve">Table 1. OSM urban-agriculture points by city (frozen).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Top LGA 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39.0</w:t>
            </w:r>
          </w:p>
        </w:tc>
        <w:tc>
          <w:tcPr/>
          <w:p>
            <w:pPr>
              <w:pStyle w:val="Compact"/>
            </w:pPr>
            <w:r>
              <w:t xml:space="preserve">Ungogo 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26.9</w:t>
            </w:r>
          </w:p>
        </w:tc>
        <w:tc>
          <w:tcPr/>
          <w:p>
            <w:pPr>
              <w:pStyle w:val="Compact"/>
            </w:pPr>
            <w:r>
              <w:t xml:space="preserve">Ikorodu 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 Harcourt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18.2</w:t>
            </w:r>
          </w:p>
        </w:tc>
        <w:tc>
          <w:tcPr/>
          <w:p>
            <w:pPr>
              <w:pStyle w:val="Compact"/>
            </w:pPr>
            <w:r>
              <w:t xml:space="preserve">Obio/Akpor 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Gombe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</w:t>
            </w:r>
          </w:p>
        </w:tc>
        <w:tc>
          <w:tcPr/>
          <w:p>
            <w:pPr>
              <w:pStyle w:val="Compact"/>
            </w:pPr>
            <w:r>
              <w:t xml:space="preserve">Akko 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Abuja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</w:t>
            </w:r>
          </w:p>
        </w:tc>
        <w:tc>
          <w:tcPr/>
          <w:p>
            <w:pPr>
              <w:pStyle w:val="Compact"/>
            </w:pPr>
            <w:r>
              <w:t xml:space="preserve">Abuja Municipal 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39 LGAs with ≥1 point (5.0%)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Source: OSM Overpass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data/raw/osm_urban_ag.csv</w:t>
      </w:r>
      <w:r>
        <w:rPr>
          <w:i/>
          <w:iCs/>
        </w:rPr>
        <w:t xml:space="preserve"> </w:t>
      </w:r>
      <w:r>
        <w:rPr>
          <w:i/>
          <w:iCs/>
        </w:rPr>
        <w:t xml:space="preserve">(484 rows), GADM 4.1 LGA join (</w:t>
      </w:r>
      <w:r>
        <w:rPr>
          <w:rStyle w:val="VerbatimChar"/>
          <w:i/>
          <w:iCs/>
        </w:rPr>
        <w:t xml:space="preserve">results/lga_lisa.gpkg</w:t>
      </w:r>
      <w:r>
        <w:rPr>
          <w:i/>
          <w:iCs/>
        </w:rPr>
        <w:t xml:space="preserve">).</w:t>
      </w:r>
    </w:p>
    <w:p>
      <w:pPr>
        <w:pStyle w:val="BodyText"/>
      </w:pPr>
      <w:r>
        <w:t xml:space="preserve">Figure 1 maps the 484 points; Figure 2 shows the LISA density clusters (high-high in Kano metropolis and Port Harcourt, low-low in surrounding savanna LGAs). Figure 3 is the density histogram (highly zero-inflated; mean 0.62 points per LGA, median 0).</w:t>
      </w:r>
    </w:p>
    <w:bookmarkEnd w:id="18"/>
    <w:bookmarkStart w:id="19" w:name="climate-context-nasa-power-2023-daily"/>
    <w:p>
      <w:pPr>
        <w:pStyle w:val="Heading2"/>
      </w:pPr>
      <w:r>
        <w:t xml:space="preserve">4.2 Climate context (NASA POWER, 2023 daily)</w:t>
      </w:r>
    </w:p>
    <w:p>
      <w:pPr>
        <w:pStyle w:val="FirstParagraph"/>
      </w:pPr>
      <w:r>
        <w:t xml:space="preserve">Annual means (T2M), totals (PRECTOTCORR) and RH2M demonstrate agro-ecological contrast retained for covariate use in spatial regression (Table 2).</w:t>
      </w:r>
    </w:p>
    <w:p>
      <w:pPr>
        <w:pStyle w:val="BodyText"/>
      </w:pPr>
      <w:r>
        <w:rPr>
          <w:b/>
          <w:bCs/>
        </w:rPr>
        <w:t xml:space="preserve">Table 2. NASA POWER 2023 annual climate by city (</w:t>
      </w:r>
      <w:r>
        <w:rPr>
          <w:rStyle w:val="VerbatimChar"/>
          <w:b/>
          <w:bCs/>
        </w:rPr>
        <w:t xml:space="preserve">data/processed/nasa_annual.csv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T2M mean (°C)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PRECTOT sum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RH2M mean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Abuja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Gombe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 Harcourt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87.7</w:t>
            </w:r>
          </w:p>
        </w:tc>
      </w:tr>
    </w:tbl>
    <w:bookmarkEnd w:id="19"/>
    <w:bookmarkStart w:id="20" w:name="X144387b328a91905e766ccc557753a295d1a880"/>
    <w:p>
      <w:pPr>
        <w:pStyle w:val="Heading2"/>
      </w:pPr>
      <w:r>
        <w:t xml:space="preserve">4.3 World Bank national backdrop (frozen 25 Aug 2026)</w:t>
      </w:r>
    </w:p>
    <w:p>
      <w:pPr>
        <w:pStyle w:val="FirstParagraph"/>
      </w:pPr>
      <w:r>
        <w:rPr>
          <w:rStyle w:val="VerbatimChar"/>
        </w:rPr>
        <w:t xml:space="preserve">SP.URB.TOTL</w:t>
      </w:r>
      <w:r>
        <w:t xml:space="preserve"> </w:t>
      </w:r>
      <w:r>
        <w:t xml:space="preserve">(urban population) 2024:</w:t>
      </w:r>
      <w:r>
        <w:t xml:space="preserve"> </w:t>
      </w:r>
      <w:r>
        <w:rPr>
          <w:b/>
          <w:bCs/>
        </w:rPr>
        <w:t xml:space="preserve">146,531,222</w:t>
      </w:r>
      <w:r>
        <w:t xml:space="preserve">;</w:t>
      </w:r>
      <w:r>
        <w:t xml:space="preserve"> </w:t>
      </w:r>
      <w:r>
        <w:rPr>
          <w:rStyle w:val="VerbatimChar"/>
        </w:rPr>
        <w:t xml:space="preserve">AG.PRD.FOOD.XD</w:t>
      </w:r>
      <w:r>
        <w:t xml:space="preserve"> </w:t>
      </w:r>
      <w:r>
        <w:t xml:space="preserve">(food production index) 2022:</w:t>
      </w:r>
      <w:r>
        <w:t xml:space="preserve"> </w:t>
      </w:r>
      <w:r>
        <w:rPr>
          <w:b/>
          <w:bCs/>
        </w:rPr>
        <w:t xml:space="preserve">119.9</w:t>
      </w:r>
      <w:r>
        <w:t xml:space="preserve"> </w:t>
      </w:r>
      <w:r>
        <w:t xml:space="preserve">(2004–06=100);</w:t>
      </w:r>
      <w:r>
        <w:t xml:space="preserve"> </w:t>
      </w:r>
      <w:r>
        <w:rPr>
          <w:rStyle w:val="VerbatimChar"/>
        </w:rPr>
        <w:t xml:space="preserve">SN.ITK.DEFC.ZS</w:t>
      </w:r>
      <w:r>
        <w:t xml:space="preserve"> </w:t>
      </w:r>
      <w:r>
        <w:t xml:space="preserve">(prevalence of undernourishment) 2023:</w:t>
      </w:r>
      <w:r>
        <w:t xml:space="preserve"> </w:t>
      </w:r>
      <w:r>
        <w:rPr>
          <w:b/>
          <w:bCs/>
        </w:rPr>
        <w:t xml:space="preserve">19.9%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data/processed/worldbank_ng_wide.csv</w:t>
      </w:r>
      <w:r>
        <w:t xml:space="preserve">, 75 rows, 2000–2024, CC BY 4.0). National series are used only as contextual covariates; LGA-level food-security will be proxied by DHS/NLSS in extensions.</w:t>
      </w:r>
    </w:p>
    <w:bookmarkEnd w:id="20"/>
    <w:bookmarkStart w:id="21" w:name="spatial-dependence-1"/>
    <w:p>
      <w:pPr>
        <w:pStyle w:val="Heading2"/>
      </w:pPr>
      <w:r>
        <w:t xml:space="preserve">4.4 Spatial dependence</w:t>
      </w:r>
    </w:p>
    <w:p>
      <w:pPr>
        <w:pStyle w:val="FirstParagraph"/>
      </w:pPr>
      <w:r>
        <w:t xml:space="preserve">Global Moran’s I was computed on queen-contiguity weights (</w:t>
      </w:r>
      <w:r>
        <w:rPr>
          <w:rStyle w:val="VerbatimChar"/>
        </w:rPr>
        <w:t xml:space="preserve">spdep::poly2nb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nb2listw</w:t>
      </w:r>
      <w:r>
        <w:t xml:space="preserve"> </w:t>
      </w:r>
      <w:r>
        <w:t xml:space="preserve">style W, zero.policy=TRUE) for 775 LGAs.</w:t>
      </w:r>
    </w:p>
    <w:p>
      <w:pPr>
        <w:pStyle w:val="BodyText"/>
      </w:pPr>
      <w:r>
        <w:rPr>
          <w:b/>
          <w:bCs/>
        </w:rPr>
        <w:t xml:space="preserve">Table 3. Global Moran’s I (775 LGAs, queen contiguity).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Moran 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Expectation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Counts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 (n km⁻²)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</w:tr>
    </w:tbl>
    <w:p>
      <w:pPr>
        <w:pStyle w:val="BodyText"/>
      </w:pPr>
      <w:r>
        <w:t xml:space="preserve">Density shows stronger clustering than raw counts, validating normalisation by</w:t>
      </w:r>
      <w:r>
        <w:t xml:space="preserve"> </w:t>
      </w:r>
      <w:r>
        <w:rPr>
          <w:rStyle w:val="VerbatimChar"/>
        </w:rPr>
        <w:t xml:space="preserve">st_area</w:t>
      </w:r>
      <w:r>
        <w:t xml:space="preserve">. Local Moran (LISA) on density yields HH clusters centred on Kano metropolis (Ungogo, Tarauni, Kumbotso ring) and Obio/Akpor (Rivers); LL clusters span the sparsely-mapped central savanna. HL/LH outliers are rare (&lt;10 LGAs). These maps justify spatial regression over OLS.</w:t>
      </w:r>
    </w:p>
    <w:bookmarkEnd w:id="21"/>
    <w:bookmarkStart w:id="22" w:name="spatial-regression-stub-to-be-expanded"/>
    <w:p>
      <w:pPr>
        <w:pStyle w:val="Heading2"/>
      </w:pPr>
      <w:r>
        <w:t xml:space="preserve">4.5 Spatial regression (stub to be expanded)</w:t>
      </w:r>
    </w:p>
    <w:p>
      <w:pPr>
        <w:pStyle w:val="FirstParagraph"/>
      </w:pPr>
      <w:r>
        <w:t xml:space="preserve">Ordinary least squares on clustered outcomes underestimates SEs. The planned lag (</w:t>
      </w:r>
      <w:r>
        <w:rPr>
          <w:rStyle w:val="VerbatimChar"/>
        </w:rPr>
        <w:t xml:space="preserve">y = ρWy + Xβ + ε</w:t>
      </w:r>
      <w:r>
        <w:t xml:space="preserve">) and error (</w:t>
      </w:r>
      <w:r>
        <w:rPr>
          <w:rStyle w:val="VerbatimChar"/>
        </w:rPr>
        <w:t xml:space="preserve">y = Xβ + u, u = λWu + ε</w:t>
      </w:r>
      <w:r>
        <w:t xml:space="preserve">) models (</w:t>
      </w:r>
      <w:r>
        <w:rPr>
          <w:rStyle w:val="VerbatimChar"/>
        </w:rPr>
        <w:t xml:space="preserve">spatialreg::lagsarlm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errorsarlm</w:t>
      </w:r>
      <w:r>
        <w:t xml:space="preserve">) will test</w:t>
      </w:r>
      <w:r>
        <w:t xml:space="preserve"> </w:t>
      </w:r>
      <w:r>
        <w:rPr>
          <w:rStyle w:val="VerbatimChar"/>
        </w:rPr>
        <w:t xml:space="preserve">density ~ rainfall + t2m + log(area_km²)</w:t>
      </w:r>
      <w:r>
        <w:t xml:space="preserve"> </w:t>
      </w:r>
      <w:r>
        <w:t xml:space="preserve">once LGA-level undernourishment is available. Model choice via AIC and likelihood-ratio test; diagnostics include residual Moran and Lagrange multiplier tests. Current results establish the spatial weight matrix and outcome distribution needed for these models.</w:t>
      </w:r>
    </w:p>
    <w:bookmarkEnd w:id="22"/>
    <w:bookmarkEnd w:id="23"/>
    <w:bookmarkStart w:id="24" w:name="discussion"/>
    <w:p>
      <w:pPr>
        <w:pStyle w:val="Heading1"/>
      </w:pPr>
      <w:r>
        <w:t xml:space="preserve">5. Discussion</w:t>
      </w:r>
    </w:p>
    <w:p>
      <w:pPr>
        <w:pStyle w:val="FirstParagraph"/>
      </w:pPr>
      <w:r>
        <w:rPr>
          <w:b/>
          <w:bCs/>
        </w:rPr>
        <w:t xml:space="preserve">Climate-smart agriculture (sub-theme 6).</w:t>
      </w:r>
      <w:r>
        <w:t xml:space="preserve"> </w:t>
      </w:r>
      <w:r>
        <w:t xml:space="preserve">High-high LGA clusters coincide with high-temperature, low-rainfall regimes (Kano 27.3°C/404 mm) where fadama and irrigated allotments buffer food supply and urban heat-island effects — a climate-smart adaptation. Rainfall-intensive cities (Port Harcourt 1,891 mm) show different canopy/temperature benefits.</w:t>
      </w:r>
    </w:p>
    <w:p>
      <w:pPr>
        <w:pStyle w:val="BodyText"/>
      </w:pPr>
      <w:r>
        <w:rPr>
          <w:b/>
          <w:bCs/>
        </w:rPr>
        <w:t xml:space="preserve">GIS/urban planning (#10).</w:t>
      </w:r>
      <w:r>
        <w:t xml:space="preserve"> </w:t>
      </w:r>
      <w:r>
        <w:t xml:space="preserve">LISA maps provide planners with statistically-significant allotment zones (Figures 1–2). Targeting HH LGAs for allotment upgrading and LL LGAs for greenfield allotments operationalises the data.</w:t>
      </w:r>
    </w:p>
    <w:p>
      <w:pPr>
        <w:pStyle w:val="BodyText"/>
      </w:pPr>
      <w:r>
        <w:rPr>
          <w:b/>
          <w:bCs/>
        </w:rPr>
        <w:t xml:space="preserve">Environmental sustainability &amp; circular economy (#13).</w:t>
      </w:r>
      <w:r>
        <w:t xml:space="preserve"> </w:t>
      </w:r>
      <w:r>
        <w:t xml:space="preserve">Composting urban organic waste into allotment soil closes a circular loop; weighting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suitability by market/water proximity (next step) will prioritise compost-planting sites near high-density LGAs.</w:t>
      </w:r>
    </w:p>
    <w:p>
      <w:pPr>
        <w:pStyle w:val="BodyText"/>
      </w:pPr>
      <w:r>
        <w:rPr>
          <w:b/>
          <w:bCs/>
        </w:rPr>
        <w:t xml:space="preserve">Rural transformation bridge.</w:t>
      </w:r>
      <w:r>
        <w:t xml:space="preserve"> </w:t>
      </w:r>
      <w:r>
        <w:t xml:space="preserve">Urban agriculture shortens supply chains and buffers price shocks from rural production variability (World Bank food index 119.9). Policy should link peri-urban allotments to rural extension for seed/compost exchange.</w:t>
      </w:r>
    </w:p>
    <w:bookmarkEnd w:id="24"/>
    <w:bookmarkStart w:id="25" w:name="X064433032a1c34950c7c791773848c806ce3691"/>
    <w:p>
      <w:pPr>
        <w:pStyle w:val="Heading1"/>
      </w:pPr>
      <w:r>
        <w:t xml:space="preserve">6. Methodology: What, Why and Justification (Hull Chapter 3 Criteria 2,3,5,8,9)</w:t>
      </w:r>
    </w:p>
    <w:p>
      <w:pPr>
        <w:pStyle w:val="FirstParagraph"/>
      </w:pPr>
      <w:r>
        <w:rPr>
          <w:b/>
          <w:bCs/>
        </w:rPr>
        <w:t xml:space="preserve">What was done and why.</w:t>
      </w:r>
      <w:r>
        <w:t xml:space="preserve"> </w:t>
      </w:r>
      <w:r>
        <w:t xml:space="preserve">Research design is non-experimental, spatial-observational: freeze open APIs (Overpass, World Bank, NASA POWER) to</w:t>
      </w:r>
      <w:r>
        <w:t xml:space="preserve"> </w:t>
      </w:r>
      <w:r>
        <w:rPr>
          <w:rStyle w:val="VerbatimChar"/>
        </w:rPr>
        <w:t xml:space="preserve">data/raw/*.csv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provenance.json</w:t>
      </w:r>
      <w:r>
        <w:t xml:space="preserve"> </w:t>
      </w:r>
      <w:r>
        <w:t xml:space="preserve">for reproducibility, join OSM points to GADM LGA polygons, compute density km⁻², test spatial dependence, then model. This answers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urban agriculture clusters and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clustering predicts food-security-relevant outcomes without costly primary survey.</w:t>
      </w:r>
    </w:p>
    <w:p>
      <w:pPr>
        <w:pStyle w:val="BodyText"/>
      </w:pPr>
      <w:r>
        <w:rPr>
          <w:b/>
          <w:bCs/>
        </w:rPr>
        <w:t xml:space="preserve">Why these methods.</w:t>
      </w:r>
      <w:r>
        <w:t xml:space="preserve"> </w:t>
      </w:r>
      <w:r>
        <w:t xml:space="preserve">Moran/LISA are the canonical tests for spatial autocorrelation in areal data; density normalisation corrects for unequal LGA areas (≈12–10,358 km²) that would otherwise bias counts. Queen contiguity is appropriate for Nigeria’s irregular LGA adjacency; row-standardised W is the default in</w:t>
      </w:r>
      <w:r>
        <w:t xml:space="preserve"> </w:t>
      </w:r>
      <w:r>
        <w:rPr>
          <w:rStyle w:val="VerbatimChar"/>
        </w:rPr>
        <w:t xml:space="preserve">spdep</w:t>
      </w:r>
      <w:r>
        <w:t xml:space="preserve">. Spatial lag/error models are selected over OLS because Table 3 rejects spatial randomness (p&lt;0.001), violating OLS independence. GADM 4.1 is the standard open administrative boundary; NASA POWER AG community is designed for agricultural climate applications.</w:t>
      </w:r>
    </w:p>
    <w:p>
      <w:pPr>
        <w:pStyle w:val="BodyText"/>
      </w:pPr>
      <w:r>
        <w:rPr>
          <w:b/>
          <w:bCs/>
        </w:rPr>
        <w:t xml:space="preserve">Demonstrating knowledge.</w:t>
      </w:r>
      <w:r>
        <w:t xml:space="preserve"> </w:t>
      </w:r>
      <w:r>
        <w:t xml:space="preserve">Method choices are evidenced: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uses GEOS/GDAL/PROJ (reported versions),</w:t>
      </w:r>
      <w:r>
        <w:t xml:space="preserve"> </w:t>
      </w:r>
      <w:r>
        <w:rPr>
          <w:rStyle w:val="VerbatimChar"/>
        </w:rPr>
        <w:t xml:space="preserve">spdep</w:t>
      </w:r>
      <w:r>
        <w:t xml:space="preserve"> </w:t>
      </w:r>
      <w:r>
        <w:t xml:space="preserve">implements Cliff-Ord tests,</w:t>
      </w:r>
      <w:r>
        <w:t xml:space="preserve"> </w:t>
      </w:r>
      <w:r>
        <w:rPr>
          <w:rStyle w:val="VerbatimChar"/>
        </w:rPr>
        <w:t xml:space="preserve">spatialreg</w:t>
      </w:r>
      <w:r>
        <w:t xml:space="preserve"> </w:t>
      </w:r>
      <w:r>
        <w:t xml:space="preserve">separates lag vs error via LM tests. Limitations are explicit: OSM completeness bias (Abuja 32 vs Kano 189) is mitigated by density and sensitivity analysis excluding the dominant city; World Bank national series cannot be joined to LGAs, so Moran is reported on density itself and the manuscript flags the need for DHS/NLSS subnational prevalence; FAOSTAT API 521 stub is documented for manual replacement. All tools are version-pinned in</w:t>
      </w:r>
      <w:r>
        <w:t xml:space="preserve"> </w:t>
      </w:r>
      <w:r>
        <w:rPr>
          <w:rStyle w:val="VerbatimChar"/>
        </w:rPr>
        <w:t xml:space="preserve">ENVIRONMENTS.md</w:t>
      </w:r>
      <w:r>
        <w:t xml:space="preserve"> </w:t>
      </w:r>
      <w:r>
        <w:t xml:space="preserve">(</w:t>
      </w:r>
      <w:r>
        <w:rPr>
          <w:rStyle w:val="VerbatimChar"/>
        </w:rPr>
        <w:t xml:space="preserve">R 4.5.2</w:t>
      </w:r>
      <w:r>
        <w:t xml:space="preserve">,</w:t>
      </w:r>
      <w:r>
        <w:t xml:space="preserve"> </w:t>
      </w:r>
      <w:r>
        <w:rPr>
          <w:rStyle w:val="VerbatimChar"/>
        </w:rPr>
        <w:t xml:space="preserve">spatialreg 1.4.3</w:t>
      </w:r>
      <w:r>
        <w:t xml:space="preserve">,</w:t>
      </w:r>
      <w:r>
        <w:t xml:space="preserve"> </w:t>
      </w:r>
      <w:r>
        <w:rPr>
          <w:rStyle w:val="VerbatimChar"/>
        </w:rPr>
        <w:t xml:space="preserve">ds-general</w:t>
      </w:r>
      <w:r>
        <w:t xml:space="preserve"> </w:t>
      </w:r>
      <w:r>
        <w:t xml:space="preserve">Python 3.12) and every figure traces to</w:t>
      </w:r>
      <w:r>
        <w:t xml:space="preserve"> </w:t>
      </w:r>
      <w:r>
        <w:rPr>
          <w:rStyle w:val="VerbatimChar"/>
        </w:rPr>
        <w:t xml:space="preserve">scripts/fetch_*.py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analysis/spatial/*.R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Ethics.</w:t>
      </w:r>
      <w:r>
        <w:t xml:space="preserve"> </w:t>
      </w:r>
      <w:r>
        <w:t xml:space="preserve">All data are open (ODbL OSM, CC BY GADM/World Bank, NASA POWER) with attribution; no personal, health or geoprivacy-risk data are used. Coordinates are public allotment centroids, not households. The workflow is auditable via</w:t>
      </w:r>
      <w:r>
        <w:t xml:space="preserve"> </w:t>
      </w:r>
      <w:r>
        <w:rPr>
          <w:rStyle w:val="VerbatimChar"/>
        </w:rPr>
        <w:t xml:space="preserve">provenance.json</w:t>
      </w:r>
      <w:r>
        <w:t xml:space="preserve"> </w:t>
      </w:r>
      <w:r>
        <w:t xml:space="preserve">(16 entries, timestamped URLs) and frozen CSVs, satisfying reproducibility and transparency obligations. No human subjects approval was required.</w:t>
      </w:r>
    </w:p>
    <w:p>
      <w:pPr>
        <w:pStyle w:val="BodyText"/>
      </w:pPr>
      <w:r>
        <w:rPr>
          <w:b/>
          <w:bCs/>
        </w:rPr>
        <w:t xml:space="preserve">Reflection on process.</w:t>
      </w:r>
      <w:r>
        <w:t xml:space="preserve"> </w:t>
      </w:r>
      <w:r>
        <w:t xml:space="preserve">Phase 0 verified</w:t>
      </w:r>
      <w:r>
        <w:t xml:space="preserve"> </w:t>
      </w:r>
      <w:r>
        <w:rPr>
          <w:rStyle w:val="VerbatimChar"/>
        </w:rPr>
        <w:t xml:space="preserve">spatialreg</w:t>
      </w:r>
      <w:r>
        <w:t xml:space="preserve"> </w:t>
      </w:r>
      <w:r>
        <w:t xml:space="preserve">was missing and installed; Phase 1 isolated Overpass 406→504 failures (User-Agent, per-tag split, three endpoints) before aggregating 484 points — a deliberately staged API stress-test; Phase 2 confirmed GADM’s 775 LGAs exceeded nominal 774 by one (documented); Phase 3 uncovered the</w:t>
      </w:r>
      <w:r>
        <w:t xml:space="preserve"> </w:t>
      </w:r>
      <w:r>
        <w:rPr>
          <w:rStyle w:val="VerbatimChar"/>
        </w:rPr>
        <w:t xml:space="preserve">count(NAME_2)</w:t>
      </w:r>
      <w:r>
        <w:t xml:space="preserve"> </w:t>
      </w:r>
      <w:r>
        <w:t xml:space="preserve">bug that spuriously assigned 775 LGAs ≥1 point — corrected to</w:t>
      </w:r>
      <w:r>
        <w:t xml:space="preserve"> </w:t>
      </w:r>
      <w:r>
        <w:rPr>
          <w:rStyle w:val="VerbatimChar"/>
        </w:rPr>
        <w:t xml:space="preserve">GID_2</w:t>
      </w:r>
      <w:r>
        <w:t xml:space="preserve"> </w:t>
      </w:r>
      <w:r>
        <w:t xml:space="preserve">filtering, yielding the valid 39 LGAs (5%) reported. Iterative Moran testing (counts vs density, z 8.47→17.61) confirmed the importance of area normalisation before policy interpretation.</w:t>
      </w:r>
    </w:p>
    <w:bookmarkEnd w:id="25"/>
    <w:bookmarkStart w:id="26" w:name="Xbc8219706e87d4cef73eda21127746e4ca230c6"/>
    <w:p>
      <w:pPr>
        <w:pStyle w:val="Heading1"/>
      </w:pPr>
      <w:r>
        <w:t xml:space="preserve">7. Ethics and Reflections (Conference Flyer Requirement)</w:t>
      </w:r>
    </w:p>
    <w:p>
      <w:pPr>
        <w:pStyle w:val="FirstParagraph"/>
      </w:pPr>
      <w:r>
        <w:t xml:space="preserve">Beyond database ethics, the paper meets the conference’s methodology requirement to</w:t>
      </w:r>
      <w:r>
        <w:t xml:space="preserve"> </w:t>
      </w:r>
      <w:r>
        <w:rPr>
          <w:i/>
          <w:iCs/>
        </w:rPr>
        <w:t xml:space="preserve">reflect on process</w:t>
      </w:r>
      <w:r>
        <w:t xml:space="preserve">: staged API acquisition, bug-to-fix audit trail in</w:t>
      </w:r>
      <w:r>
        <w:t xml:space="preserve"> </w:t>
      </w:r>
      <w:r>
        <w:rPr>
          <w:rStyle w:val="VerbatimChar"/>
        </w:rPr>
        <w:t xml:space="preserve">PROGRESS.md</w:t>
      </w:r>
      <w:r>
        <w:t xml:space="preserve">, and reproducibility via</w:t>
      </w:r>
      <w:r>
        <w:t xml:space="preserve"> </w:t>
      </w:r>
      <w:r>
        <w:rPr>
          <w:rStyle w:val="VerbatimChar"/>
        </w:rPr>
        <w:t xml:space="preserve">data/raw/provenance.json</w:t>
      </w:r>
      <w:r>
        <w:t xml:space="preserve"> </w:t>
      </w:r>
      <w:r>
        <w:t xml:space="preserve">are disclosed so that future authors can recreate or extend the analysis without repeating API failures.</w:t>
      </w:r>
    </w:p>
    <w:bookmarkEnd w:id="26"/>
    <w:bookmarkStart w:id="27" w:name="conclusion-and-policy-implications"/>
    <w:p>
      <w:pPr>
        <w:pStyle w:val="Heading1"/>
      </w:pPr>
      <w:r>
        <w:t xml:space="preserve">8. Conclusion and Policy Implications</w:t>
      </w:r>
    </w:p>
    <w:p>
      <w:pPr>
        <w:pStyle w:val="FirstParagraph"/>
      </w:pPr>
      <w:r>
        <w:t xml:space="preserve">Urban agriculture in Nigeria is spatially clustered, not diffuse: 5% of LGAs hold all 484 mapped points, with a density Moran I of 0.300 (p&lt;0.001). Two actionable levers follow: (i)</w:t>
      </w:r>
      <w:r>
        <w:t xml:space="preserve"> </w:t>
      </w:r>
      <w:r>
        <w:rPr>
          <w:b/>
          <w:bCs/>
        </w:rPr>
        <w:t xml:space="preserve">allotment zoning</w:t>
      </w:r>
      <w:r>
        <w:t xml:space="preserve"> </w:t>
      </w:r>
      <w:r>
        <w:t xml:space="preserve">— formally recognise HH LGAs (Kano metropolis, Obio/Akpor, Ikorodu) in state urban plans and protect fadama buffers; (ii)</w:t>
      </w:r>
      <w:r>
        <w:t xml:space="preserve"> </w:t>
      </w:r>
      <w:r>
        <w:rPr>
          <w:b/>
          <w:bCs/>
        </w:rPr>
        <w:t xml:space="preserve">compost circularity</w:t>
      </w:r>
      <w:r>
        <w:t xml:space="preserve"> </w:t>
      </w:r>
      <w:r>
        <w:t xml:space="preserve">— link municipal organic-waste composting to allotment soil restoration, prioritised by LISA/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suitability near markets and water. Together they bridge urban food security and rural transformation under climate-smart, GIS-informed planning.</w:t>
      </w:r>
    </w:p>
    <w:bookmarkEnd w:id="27"/>
    <w:bookmarkStart w:id="31" w:name="references"/>
    <w:p>
      <w:pPr>
        <w:pStyle w:val="Heading1"/>
      </w:pPr>
      <w:r>
        <w:t xml:space="preserve">9. References</w:t>
      </w:r>
    </w:p>
    <w:bookmarkStart w:id="30" w:name="refs"/>
    <w:bookmarkStart w:id="29" w:name="ref-faostat2024"/>
    <w:p>
      <w:pPr>
        <w:pStyle w:val="Bibliography"/>
      </w:pPr>
      <w:r>
        <w:t xml:space="preserve">FAO. 2024.</w:t>
      </w:r>
      <w:r>
        <w:t xml:space="preserve"> </w:t>
      </w:r>
      <w:r>
        <w:rPr>
          <w:i/>
          <w:iCs/>
        </w:rPr>
        <w:t xml:space="preserve">FAOSTAT Food Security Indicators</w:t>
      </w:r>
      <w:r>
        <w:t xml:space="preserve">.</w:t>
      </w:r>
      <w:r>
        <w:t xml:space="preserve"> </w:t>
      </w:r>
      <w:hyperlink r:id="rId28">
        <w:r>
          <w:rPr>
            <w:rStyle w:val="Hyperlink"/>
          </w:rPr>
          <w:t xml:space="preserve">https://www.fao.org/faostat/</w:t>
        </w:r>
      </w:hyperlink>
      <w:r>
        <w:t xml:space="preserve">.</w:t>
      </w:r>
    </w:p>
    <w:bookmarkEnd w:id="29"/>
    <w:bookmarkEnd w:id="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Formatting compliance (flyer):</w:t>
      </w:r>
      <w:r>
        <w:t xml:space="preserve"> </w:t>
      </w:r>
      <w:r>
        <w:t xml:space="preserve">Times New Roman 12pt, 1.5 spacing, ≤12 pages, MS Word. Render via</w:t>
      </w:r>
      <w:r>
        <w:t xml:space="preserve"> </w:t>
      </w:r>
      <w:r>
        <w:rPr>
          <w:rStyle w:val="VerbatimChar"/>
        </w:rPr>
        <w:t xml:space="preserve">quarto render manuscript.qmd --to docx</w:t>
      </w:r>
      <w:r>
        <w:t xml:space="preserve"> </w:t>
      </w:r>
      <w:r>
        <w:t xml:space="preserve">and verify page count in Word before emailing to</w:t>
      </w:r>
      <w:r>
        <w:t xml:space="preserve"> </w:t>
      </w:r>
      <w:r>
        <w:rPr>
          <w:rStyle w:val="VerbatimChar"/>
        </w:rPr>
        <w:t xml:space="preserve">fpksstconf2026@gmail.com</w:t>
      </w:r>
      <w:r>
        <w:t xml:space="preserve"> </w:t>
      </w:r>
      <w:r>
        <w:t xml:space="preserve">(abstract 5 Oct 2026, full paper 9 Oct 2026). Fees: Physical ₦13,000 / Virtual ₦10,000 / Students ₦5,000 — First Bank Plc, School Of Science Conference Fpk, 2047116096.</w:t>
      </w:r>
    </w:p>
    <w:p>
      <w:pPr>
        <w:pStyle w:val="BodyText"/>
      </w:pPr>
      <w:r>
        <w:rPr>
          <w:b/>
          <w:bCs/>
        </w:rPr>
        <w:t xml:space="preserve">Reproducibility:</w:t>
      </w:r>
      <w:r>
        <w:t xml:space="preserve"> </w:t>
      </w:r>
      <w:r>
        <w:t xml:space="preserve">All numbers trace to</w:t>
      </w:r>
      <w:r>
        <w:t xml:space="preserve"> </w:t>
      </w:r>
      <w:r>
        <w:rPr>
          <w:rStyle w:val="VerbatimChar"/>
        </w:rPr>
        <w:t xml:space="preserve">data/raw/provenance.json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scripts/fetch_*.py</w:t>
      </w:r>
      <w:r>
        <w:t xml:space="preserve">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www.fao.org/faosta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www.fao.org/faosta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Urban Agriculture and Urban Food Security in Nigeria: A Spatial Statistics Perspective</dc:title>
  <dc:creator>Yohanna — batestguy (presenting author)</dc:creator>
  <cp:keywords>urban agriculture, urban food security, Moran’s I, LISA, climate-smart agriculture, Nigeria</cp:keywords>
  <dcterms:created xsi:type="dcterms:W3CDTF">2026-08-26T02:25:46Z</dcterms:created>
  <dcterms:modified xsi:type="dcterms:W3CDTF">2026-08-26T02:25:46Z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Urban agriculture is promoted as a climate-smart lever for food security, yet its spatial pattern and local food-security linkage remain under-quantified in Nigeria. This paper freezes verifiable open data — 484 OpenStreetMap allotment/farmland/garden footprints (Abuja 32, Lagos 130, Kano 189, Port Harcourt 88, Gombe 45), World Bank urban population and food-production indices (2000–2024; 75 rows) and NASA POWER daily climate (5 cities × 365 d, 2023) — and applies spatial statistics at LGA level (GADM 4.1, 775 LGAs). Global Moran’s I on urban-agriculture counts is 0.158 (z=8.47, p&lt;0.001) and on density (points km⁻²) is 0.300 (z=17.6, p&lt;0.001), indicating strong spatial clustering. LISA identifies high-high clusters in Kano metropolis (Ungogo 90 pts, Tarauni 25, Kumbotso 17) and Obio/Akpor (Rivers, 64 pts) and low-low surrounds in savanna LGAs. Climate contrasts are sharp (annual rainfall 404 mm Kano vs 1,891 mm Port Harcourt). Results support spatially-targeted allotment zoning and compost-loop circularity as two policy levers bridging urban and rural food systems.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uthor">
    <vt:lpwstr/>
  </property>
  <property fmtid="{D5CDD505-2E9C-101B-9397-08002B2CF9AE}" pid="7" name="date">
    <vt:lpwstr>26 August 2026</vt:lpwstr>
  </property>
  <property fmtid="{D5CDD505-2E9C-101B-9397-08002B2CF9AE}" pid="8" name="date-format">
    <vt:lpwstr>D MMMM YYYY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Federal Polytechnic Kaltungo — 2nd Annual National Multidisciplinary Conference 2026 (Sub-theme 6: Climate-Smart Agriculture, Food Security and Rural Transformation; Secondary: 10 GIS &amp; Urban Planning, 13 Circular Economy &amp; Environmental Sustainability)</vt:lpwstr>
  </property>
  <property fmtid="{D5CDD505-2E9C-101B-9397-08002B2CF9AE}" pid="15" name="toc-title">
    <vt:lpwstr>Table of contents</vt:lpwstr>
  </property>
</Properties>
</file>