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Urban Agriculture and Urban Food Security in Nigeria: A Spatial Statistics Perspective</w:t>
      </w:r>
    </w:p>
    <w:p>
      <w:pPr>
        <w:pStyle w:val="Subtitle"/>
      </w:pPr>
      <w:r>
        <w:t xml:space="preserve">Federal Polytechnic Kaltungo — 2nd Annual National Multidisciplinary Conference 2026 (Sub-theme 6: Climate-Smart Agriculture, Food Security and Rural Transformation; Secondary: 10 GIS &amp; Urban Planning, 13 Circular Economy &amp; Environmental Sustainability)</w:t>
      </w:r>
    </w:p>
    <w:p>
      <w:pPr>
        <w:pStyle w:val="Author"/>
      </w:pPr>
      <w:r>
        <w:t xml:space="preserve">Yohanna — batestguy (presenting author)</w:t>
      </w:r>
    </w:p>
    <w:p>
      <w:pPr>
        <w:pStyle w:val="Date"/>
      </w:pPr>
      <w:r>
        <w:t xml:space="preserve">26 August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w:t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Urban agriculture — dry-season fadama, peri-urban farmland and intra-urban allotments — is positioned as a climate-smart lever for food security amid rapid urbanisation</w:t>
      </w:r>
      <w:r>
        <w:t xml:space="preserve"> </w:t>
      </w:r>
      <w:r>
        <w:t xml:space="preserve">(</w:t>
      </w:r>
      <w:r>
        <w:t xml:space="preserve">Orhevba et al.</w:t>
      </w:r>
      <w:r>
        <w:t xml:space="preserve"> </w:t>
      </w:r>
      <w:r>
        <w:t xml:space="preserve">2024; Abubakar and Dano 2023)</w:t>
      </w:r>
      <w:r>
        <w:t xml:space="preserve">. Nigeria’s urban pop. 146.5M in 2024 (&gt;55%</w:t>
      </w:r>
      <w:r>
        <w:t xml:space="preserve"> </w:t>
      </w:r>
      <w:r>
        <w:t xml:space="preserve">(World Bank 2024)</w:t>
      </w:r>
      <w:r>
        <w:t xml:space="preserve">) outpaces infrastructure</w:t>
      </w:r>
      <w:r>
        <w:t xml:space="preserve"> </w:t>
      </w:r>
      <w:r>
        <w:t xml:space="preserve">(</w:t>
      </w:r>
      <w:r>
        <w:t xml:space="preserve">Udoh et al.</w:t>
      </w:r>
      <w:r>
        <w:t xml:space="preserve"> </w:t>
      </w:r>
      <w:r>
        <w:t xml:space="preserve">2022)</w:t>
      </w:r>
      <w:r>
        <w:t xml:space="preserve">.</w:t>
      </w:r>
    </w:p>
    <w:p>
      <w:pPr>
        <w:pStyle w:val="BodyText"/>
      </w:pPr>
      <w:r>
        <w:t xml:space="preserve">Evidence remains aspatial: surveys rarely georeference sites and food-security metrics mask intra-urban heterogeneity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, limiting translation into zoning, fadama protection and compost loops (sub-themes 6/10/13). The National Urban Policy (2022) prioritises compact cities but lacks LGA evidence — a gap addressed here.</w:t>
      </w:r>
    </w:p>
    <w:p>
      <w:pPr>
        <w:pStyle w:val="BodyText"/>
      </w:pPr>
      <w:r>
        <w:t xml:space="preserve">We address this by (i) freezing OSM footprints with provenance (16 entries)</w:t>
      </w:r>
      <w:r>
        <w:t xml:space="preserve"> </w:t>
      </w:r>
      <w:r>
        <w:t xml:space="preserve">(OpenStreetMap contributors 2024)</w:t>
      </w:r>
      <w:r>
        <w:t xml:space="preserve">, (ii) applying Moran/LISA and lag/error regression (Eqs.</w:t>
      </w:r>
      <w:r>
        <w:t xml:space="preserve"> </w:t>
      </w:r>
      <w:hyperlink w:anchor="eq-moran">
        <w:r>
          <w:rPr>
            <w:rStyle w:val="Hyperlink"/>
          </w:rPr>
          <w:t xml:space="preserve">Equation 2</w:t>
        </w:r>
      </w:hyperlink>
      <w:r>
        <w:t xml:space="preserve">–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)</w:t>
      </w:r>
      <w:r>
        <w:t xml:space="preserve"> </w:t>
      </w:r>
      <w:r>
        <w:t xml:space="preserve">(Pebesma and Bivand 2023; Bivand et al. 2023; Anselin 1995)</w:t>
      </w:r>
      <w:r>
        <w:t xml:space="preserve">, and (iii) translating clusters (</w:t>
      </w:r>
      <m:oMath>
        <m:r>
          <m:t>I</m:t>
        </m:r>
        <m:r>
          <m:rPr>
            <m:sty m:val="p"/>
          </m:rPr>
          <m:t>=</m:t>
        </m:r>
        <m:r>
          <m:t>0.300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into zoning insights.</w:t>
      </w:r>
    </w:p>
    <w:bookmarkEnd w:id="9"/>
    <w:bookmarkStart w:id="10" w:name="study-area-and-data"/>
    <w:p>
      <w:pPr>
        <w:pStyle w:val="Heading1"/>
      </w:pPr>
      <w:r>
        <w:t xml:space="preserve">2. Study Area and Data</w:t>
      </w:r>
    </w:p>
    <w:p>
      <w:pPr>
        <w:pStyle w:val="FirstParagraph"/>
      </w:pPr>
      <w:r>
        <w:t xml:space="preserve">Five cities (Abuja, Lagos, Kano, Port Harcourt, Gombe) span 404–1,891 mm rainfall and 25.9–27.3°C (Table 2), providing a gradient for H2; LGAs (GADM v4.1, 775) are the areal unit</w:t>
      </w:r>
      <w:r>
        <w:t xml:space="preserve"> </w:t>
      </w:r>
      <w:r>
        <w:t xml:space="preserve">(GADM 2022)</w:t>
      </w:r>
      <w:r>
        <w:t xml:space="preserve">. Data were frozen via one-time queries (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Python 3.12) to</w:t>
      </w:r>
      <w:r>
        <w:t xml:space="preserve"> </w:t>
      </w:r>
      <w:r>
        <w:rPr>
          <w:rStyle w:val="VerbatimChar"/>
        </w:rPr>
        <w:t xml:space="preserve">data/raw/*.csv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(16 entries) ensuring reproducibility.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Retained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Urban-ag footprints</w:t>
            </w:r>
          </w:p>
        </w:tc>
        <w:tc>
          <w:tcPr/>
          <w:p>
            <w:pPr>
              <w:pStyle w:val="Compact"/>
            </w:pPr>
            <w:r>
              <w:t xml:space="preserve">OSM Overpass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https://overpass-api.de/api/interpreter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landuse</w:t>
            </w:r>
            <w:r>
              <w:t xml:space="preserve"> </w:t>
            </w:r>
            <w:r>
              <w:t xml:space="preserve">allotments/farmland/farmyard,</w:t>
            </w:r>
            <w:r>
              <w:t xml:space="preserve"> </w:t>
            </w:r>
            <w:r>
              <w:rPr>
                <w:rStyle w:val="VerbatimChar"/>
              </w:rPr>
              <w:t xml:space="preserve">leisure</w:t>
            </w:r>
            <w:r>
              <w:t xml:space="preserve"> </w:t>
            </w:r>
            <w:r>
              <w:t xml:space="preserve">garden (dedup.</w:t>
            </w:r>
            <w:r>
              <w:t xml:space="preserve"> </w:t>
            </w:r>
            <w:r>
              <w:rPr>
                <w:rStyle w:val="VerbatimChar"/>
              </w:rPr>
              <w:t xml:space="preserve">type+id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Population/food</w:t>
            </w:r>
          </w:p>
        </w:tc>
        <w:tc>
          <w:tcPr/>
          <w:p>
            <w:pPr>
              <w:pStyle w:val="Compact"/>
            </w:pPr>
            <w:r>
              <w:t xml:space="preserve">World Bank WDI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.../NG/indicator/{SP.URB.TOTL,AG.PRD.FOOD.XD,SN.ITK.DEFC.ZS}</w:t>
            </w:r>
          </w:p>
        </w:tc>
        <w:tc>
          <w:tcPr/>
          <w:p>
            <w:pPr>
              <w:pStyle w:val="Compact"/>
            </w:pPr>
            <w:r>
              <w:t xml:space="preserve">Pop., food index, undernourishment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Climate</w:t>
            </w:r>
          </w:p>
        </w:tc>
        <w:tc>
          <w:tcPr/>
          <w:p>
            <w:pPr>
              <w:pStyle w:val="Compact"/>
            </w:pPr>
            <w:r>
              <w:t xml:space="preserve">NASA POWER 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.../power.larc.nasa.gov/api/temporal/daily/point?community=AG</w:t>
            </w:r>
          </w:p>
        </w:tc>
        <w:tc>
          <w:tcPr/>
          <w:p>
            <w:pPr>
              <w:pStyle w:val="Compact"/>
            </w:pPr>
            <w:r>
              <w:t xml:space="preserve">T2M, PRECTOTCORR, RH2M (daily 2023)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Boundaries</w:t>
            </w:r>
          </w:p>
        </w:tc>
        <w:tc>
          <w:tcPr/>
          <w:p>
            <w:pPr>
              <w:pStyle w:val="Compact"/>
            </w:pPr>
            <w:r>
              <w:t xml:space="preserve">GADM v4.1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.../gadm41_NGA_shp.zip</w:t>
            </w:r>
          </w:p>
        </w:tc>
        <w:tc>
          <w:tcPr/>
          <w:p>
            <w:pPr>
              <w:pStyle w:val="Compact"/>
            </w:pPr>
            <w:r>
              <w:t xml:space="preserve">LGA polygons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stub</w:t>
            </w:r>
          </w:p>
        </w:tc>
        <w:tc>
          <w:tcPr/>
          <w:p>
            <w:pPr>
              <w:pStyle w:val="Compact"/>
            </w:pPr>
            <w:r>
              <w:t xml:space="preserve">FAOSTAT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.../faostat/api/v1/en/data/FS</w:t>
            </w:r>
            <w:r>
              <w:t xml:space="preserve"> </w:t>
            </w:r>
            <w:r>
              <w:t xml:space="preserve">→ 521 → stub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fao_food_security.csv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FAOSTAT 521 → 1-row stub retained (see</w:t>
      </w:r>
      <w:r>
        <w:t xml:space="preserve"> </w:t>
      </w:r>
      <w:r>
        <w:rPr>
          <w:rStyle w:val="VerbatimChar"/>
        </w:rPr>
        <w:t xml:space="preserve">data/external/README.md</w:t>
      </w:r>
      <w:r>
        <w:t xml:space="preserve">). World Bank series are national aggregates → used as contextual covariates; DHS/NLSS subnational undernourishment is the extension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.</w:t>
      </w:r>
    </w:p>
    <w:bookmarkEnd w:id="10"/>
    <w:bookmarkStart w:id="21" w:name="methods"/>
    <w:p>
      <w:pPr>
        <w:pStyle w:val="Heading1"/>
      </w:pPr>
      <w:r>
        <w:t xml:space="preserve">3. Methods</w:t>
      </w:r>
    </w:p>
    <w:bookmarkStart w:id="11" w:name="design-and-hypotheses"/>
    <w:p>
      <w:pPr>
        <w:pStyle w:val="Heading2"/>
      </w:pPr>
      <w:r>
        <w:t xml:space="preserve">3.1 Design and hypotheses</w:t>
      </w:r>
    </w:p>
    <w:p>
      <w:pPr>
        <w:pStyle w:val="FirstParagraph"/>
      </w:pPr>
      <w:r>
        <w:t xml:space="preserve">We adopt a spatial-observational design</w:t>
      </w:r>
      <w:r>
        <w:t xml:space="preserve"> </w:t>
      </w:r>
      <w:r>
        <w:t xml:space="preserve">(Bivand et al. 2023)</w:t>
      </w:r>
      <w:r>
        <w:t xml:space="preserve">. H1: density is clustered (</w:t>
      </w:r>
      <m:oMath>
        <m:r>
          <m:t>I</m:t>
        </m:r>
        <m:r>
          <m:rPr>
            <m:sty m:val="p"/>
          </m:rPr>
          <m:t>&gt;</m:t>
        </m:r>
        <m:r>
          <m:t>0</m:t>
        </m:r>
      </m:oMath>
      <w:r>
        <w:t xml:space="preserve">, Eq.</w:t>
      </w:r>
      <w:r>
        <w:t xml:space="preserve"> </w:t>
      </w:r>
      <w:hyperlink w:anchor="eq-moran">
        <w:r>
          <w:rPr>
            <w:rStyle w:val="Hyperlink"/>
          </w:rPr>
          <w:t xml:space="preserve">Equation 2</w:t>
        </w:r>
      </w:hyperlink>
      <w:r>
        <w:t xml:space="preserve">); H2: density increases with aridity (lower PRECTOT, higher T2M); H3: density declines with LGA area (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area</m:t>
        </m:r>
        <m:r>
          <m:rPr>
            <m:sty m:val="p"/>
          </m:rPr>
          <m:t>)</m:t>
        </m:r>
      </m:oMath>
      <w:r>
        <w:t xml:space="preserve"> </w:t>
      </w:r>
      <w:r>
        <w:t xml:space="preserve">negative in Eqs.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–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)</w:t>
      </w:r>
      <w:r>
        <w:t xml:space="preserve"> </w:t>
      </w:r>
      <w:r>
        <w:t xml:space="preserve">(</w:t>
      </w:r>
      <w:r>
        <w:t xml:space="preserve">Muhammed et al.</w:t>
      </w:r>
      <w:r>
        <w:t xml:space="preserve"> </w:t>
      </w:r>
      <w:r>
        <w:t xml:space="preserve">2022)</w:t>
      </w:r>
      <w:r>
        <w:t xml:space="preserve">.</w:t>
      </w:r>
    </w:p>
    <w:bookmarkEnd w:id="11"/>
    <w:bookmarkStart w:id="12" w:name="spatial-descriptive"/>
    <w:p>
      <w:pPr>
        <w:pStyle w:val="Heading2"/>
      </w:pPr>
      <w:r>
        <w:t xml:space="preserve">3.2 Spatial descriptive</w:t>
      </w:r>
    </w:p>
    <w:p>
      <w:pPr>
        <w:pStyle w:val="FirstParagraph"/>
      </w:pPr>
      <w:r>
        <w:t xml:space="preserve">Density</w:t>
      </w:r>
      <w:r>
        <w:t xml:space="preserve"> </w:t>
      </w:r>
      <m:oMath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area</m:t>
            </m:r>
          </m:e>
          <m:sub>
            <m:r>
              <m:t>k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area</m:t>
            </m:r>
          </m:e>
          <m:sub>
            <m:r>
              <m:t>k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=</m:t>
        </m:r>
        <m:r>
          <m:rPr>
            <m:nor/>
            <m:sty m:val="p"/>
          </m:rPr>
          <m:t>st_area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sf</w:t>
      </w:r>
      <w:r>
        <w:t xml:space="preserve"> </w:t>
      </w:r>
      <w:r>
        <w:t xml:space="preserve">GEOS) corrects ten-fold LGA variation (11.6–10,358 km², median 697 km²);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rises 0.158→0.300 upon normalisation (§Results). Kernel/G(r) omitted for page limit.</w:t>
      </w:r>
    </w:p>
    <w:bookmarkEnd w:id="12"/>
    <w:bookmarkStart w:id="16" w:name="spatial-dependence-formal-tests"/>
    <w:p>
      <w:pPr>
        <w:pStyle w:val="Heading2"/>
      </w:pPr>
      <w:r>
        <w:t xml:space="preserve">3.3 Spatial dependence — formal tests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density (or counts)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775</m:t>
        </m:r>
      </m:oMath>
      <w:r>
        <w:t xml:space="preserve"> </w:t>
      </w:r>
      <w:r>
        <w:t xml:space="preserve">LGAs,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its mean,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the queen contiguity matrix row-standardised.</w:t>
      </w:r>
    </w:p>
    <w:p>
      <w:pPr>
        <w:pStyle w:val="BodyText"/>
      </w:pPr>
      <w:r>
        <w:rPr>
          <w:b/>
          <w:bCs/>
        </w:rPr>
        <w:t xml:space="preserve">Weight matrix</w:t>
      </w:r>
      <w:r>
        <w:t xml:space="preserve"> </w:t>
      </w:r>
      <w:r>
        <w:t xml:space="preserve">(Eq.</w:t>
      </w:r>
      <w:r>
        <w:t xml:space="preserve"> </w:t>
      </w:r>
      <w:hyperlink w:anchor="eq-w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w:bookmarkStart w:id="13" w:name="eq-w"/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LGAs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share edge or vertex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/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p>
      <w:pPr>
        <w:pStyle w:val="FirstParagraph"/>
      </w:pPr>
      <w:r>
        <w:t xml:space="preserve">Queen versus rook</w:t>
      </w:r>
      <w:r>
        <w:t xml:space="preserve"> </w:t>
      </w:r>
      <m:oMath>
        <m:r>
          <m:rPr>
            <m:sty m:val="b"/>
          </m:rPr>
          <m:t>W</m:t>
        </m:r>
      </m:oMath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  <m:r>
              <m:t>e</m:t>
            </m:r>
            <m:r>
              <m:t>n</m:t>
            </m:r>
            <m:r>
              <m:t>s</m:t>
            </m:r>
            <m:r>
              <m:t>i</m:t>
            </m:r>
            <m:r>
              <m:t>t</m:t>
            </m:r>
            <m:r>
              <m:t>y</m:t>
            </m:r>
          </m:sub>
        </m:sSub>
        <m:r>
          <m:rPr>
            <m:sty m:val="p"/>
          </m:rPr>
          <m:t>=</m:t>
        </m:r>
        <m:r>
          <m:t>0.300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0.306</m:t>
        </m:r>
      </m:oMath>
      <w:r>
        <w:t xml:space="preserve"> </w:t>
      </w:r>
      <w:r>
        <w:t xml:space="preserve">(both</w:t>
      </w:r>
      <w:r>
        <w:t xml:space="preserve"> </w:t>
      </w:r>
      <m:oMath>
        <m:r>
          <m:t>z</m:t>
        </m:r>
        <m:r>
          <m:rPr>
            <m:sty m:val="p"/>
          </m:rPr>
          <m:t>&gt;</m:t>
        </m:r>
        <m:r>
          <m:t>17.5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confirming robustness to diagonal neighbours.</w:t>
      </w:r>
    </w:p>
    <w:p>
      <w:pPr>
        <w:pStyle w:val="BodyText"/>
      </w:pPr>
      <w:r>
        <w:rPr>
          <w:b/>
          <w:bCs/>
        </w:rPr>
        <w:t xml:space="preserve">Global Moran’s I</w:t>
      </w:r>
      <w:r>
        <w:t xml:space="preserve"> </w:t>
      </w:r>
      <w:r>
        <w:t xml:space="preserve">(Moran 1950)</w:t>
      </w:r>
      <w:r>
        <w:t xml:space="preserve"> </w:t>
      </w:r>
      <w:r>
        <w:t xml:space="preserve">(Eq.</w:t>
      </w:r>
      <w:r>
        <w:t xml:space="preserve"> </w:t>
      </w:r>
      <w:hyperlink w:anchor="eq-moran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w:bookmarkStart w:id="14" w:name="eq-moran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W</m:t>
              </m:r>
            </m:den>
          </m:f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</m:e>
                  </m:nary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E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I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Var</m:t>
                  </m:r>
                  <m:r>
                    <m:rPr>
                      <m:sty m:val="p"/>
                    </m:rPr>
                    <m:t>[</m:t>
                  </m:r>
                  <m:r>
                    <m:t>I</m:t>
                  </m:r>
                  <m:r>
                    <m:rPr>
                      <m:sty m:val="p"/>
                    </m:rPr>
                    <m:t>]</m:t>
                  </m:r>
                </m:e>
              </m:rad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Tested with</w:t>
      </w:r>
      <w:r>
        <w:t xml:space="preserve"> </w:t>
      </w:r>
      <w:r>
        <w:rPr>
          <w:rStyle w:val="VerbatimChar"/>
        </w:rPr>
        <w:t xml:space="preserve">spdep::moran.test</w:t>
      </w:r>
      <w:r>
        <w:t xml:space="preserve"> </w:t>
      </w:r>
      <w:r>
        <w:t xml:space="preserve">(randomisation,</w:t>
      </w:r>
      <w:r>
        <w:t xml:space="preserve"> </w:t>
      </w:r>
      <w:r>
        <w:rPr>
          <w:rStyle w:val="VerbatimChar"/>
        </w:rPr>
        <w:t xml:space="preserve">zero.policy=TRUE</w:t>
      </w:r>
      <w:r>
        <w:t xml:space="preserve">) and variance under randomisation. Rejection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implies clustering beyond complete spatial randomness (CSR) and motivates spatial regression</w:t>
      </w:r>
      <w:r>
        <w:t xml:space="preserve"> </w:t>
      </w:r>
      <w:r>
        <w:t xml:space="preserve">(Anselin 1995)</w:t>
      </w:r>
      <w:r>
        <w:t xml:space="preserve"> </w:t>
      </w:r>
      <w:r>
        <w:t xml:space="preserve">(see Eq.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 Eq.</w:t>
      </w:r>
      <w:r>
        <w:t xml:space="preserve"> 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LISA</w:t>
      </w:r>
      <w:r>
        <w:t xml:space="preserve"> </w:t>
      </w:r>
      <w:r>
        <w:t xml:space="preserve">(Local Moran, 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):</w:t>
      </w:r>
    </w:p>
    <w:p>
      <w:pPr>
        <w:pStyle w:val="BodyText"/>
      </w:pPr>
      <w:bookmarkStart w:id="15" w:name="eq-lisa"/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rPr>
          <w:rStyle w:val="VerbatimChar"/>
        </w:rPr>
        <w:t xml:space="preserve">spdep::localmoran</w:t>
      </w:r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; quadrants HH/LL/HL/LH are classified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lag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acc>
          <m:accPr>
            <m:chr m:val="‾"/>
          </m:accPr>
          <m:e>
            <m:r>
              <m:rPr>
                <m:nor/>
                <m:sty m:val="p"/>
              </m:rPr>
              <m:t>lag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etc. only when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0.05</m:t>
        </m:r>
      </m:oMath>
      <w:r>
        <w:t xml:space="preserve">, mapping 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to HH/LL clusters in Fig.</w:t>
      </w:r>
      <w:r>
        <w:t xml:space="preserve"> </w:t>
      </w:r>
      <w:hyperlink w:anchor="fig-lisa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16"/>
    <w:bookmarkStart w:id="19" w:name="spatial-regression"/>
    <w:p>
      <w:pPr>
        <w:pStyle w:val="Heading2"/>
      </w:pPr>
      <w:r>
        <w:t xml:space="preserve">3.4 Spatial regression</w:t>
      </w:r>
    </w:p>
    <w:p>
      <w:pPr>
        <w:pStyle w:val="FirstParagraph"/>
      </w:pPr>
      <w:r>
        <w:t xml:space="preserve">Conditional on H1, OLS is biased (residuals remain spatially autocorrelated, violating Gauss–Markov). We therefore specify lag and error models (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</w:t>
      </w:r>
      <w:r>
        <w:t xml:space="preserve"> </w:t>
      </w:r>
      <w:r>
        <w:t xml:space="preserve">(Bivand et al. 2023)</w:t>
      </w:r>
      <w:r>
        <w:t xml:space="preserve">) for comparison:</w:t>
      </w:r>
    </w:p>
    <w:p>
      <w:pPr>
        <w:pStyle w:val="BodyText"/>
      </w:pPr>
      <w:bookmarkStart w:id="17" w:name="eq-lag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ρ</m:t>
          </m:r>
          <m:r>
            <m:rPr>
              <m:sty m:val="b"/>
            </m:rPr>
            <m:t>W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r>
            <m:t>ε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Eq.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spatial lag (spillover: neighbours’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 affects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bookmarkStart w:id="18" w:name="eq-error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,</m:t>
          </m:r>
          <m:r>
            <m:t> </m:t>
          </m:r>
          <m:r>
            <m:t>u</m:t>
          </m:r>
          <m:r>
            <m:rPr>
              <m:sty m:val="p"/>
            </m:rPr>
            <m:t>=</m:t>
          </m:r>
          <m:r>
            <m:t>λ</m:t>
          </m:r>
          <m:r>
            <m:rPr>
              <m:sty m:val="b"/>
            </m:rPr>
            <m:t>W</m:t>
          </m:r>
          <m:r>
            <m:t>u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,</m:t>
          </m:r>
          <m:r>
            <m:t> </m:t>
          </m:r>
          <m:r>
            <m:t>ε</m:t>
          </m:r>
          <m:r>
            <m:rPr>
              <m:sty m:val="p"/>
            </m:rPr>
            <m:t>∼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I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8"/>
    </w:p>
    <w:p>
      <w:pPr>
        <w:pStyle w:val="FirstParagraph"/>
      </w:pPr>
      <w:r>
        <w:t xml:space="preserve">Eq.</w:t>
      </w:r>
      <w:r>
        <w:t xml:space="preserve"> 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spatial error (captures omitted spatially-structured covariates). Proposed specification, conditional on data availability, is</w:t>
      </w:r>
      <w:r>
        <w:t xml:space="preserve"> </w:t>
      </w:r>
      <w:r>
        <w:rPr>
          <w:rStyle w:val="VerbatimChar"/>
        </w:rPr>
        <w:t xml:space="preserve">density ~ log(area_km2) + PRECTOT_sum + T2M_mean</w:t>
      </w:r>
      <w:r>
        <w:t xml:space="preserve"> </w:t>
      </w:r>
      <w:r>
        <w:t xml:space="preserve">(city-level climate as LGA proxy until DHS/NLSS subnational undernourishment is joined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). Selection follows AIC, likelihood-ratio</w:t>
      </w:r>
      <w:r>
        <w:t xml:space="preserve"> </w:t>
      </w:r>
      <m:oMath>
        <m:r>
          <m:t>L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l</m:t>
            </m:r>
            <m:r>
              <m:t>a</m:t>
            </m:r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O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 and Lagrange Multiplier diagnostics</w:t>
      </w:r>
      <w:r>
        <w:t xml:space="preserve"> </w:t>
      </w:r>
      <m:oMath>
        <m:r>
          <m:t>L</m:t>
        </m:r>
        <m:sSub>
          <m:e>
            <m:r>
              <m:t>M</m:t>
            </m:r>
          </m:e>
          <m:sub>
            <m:r>
              <m:t>l</m:t>
            </m:r>
            <m:r>
              <m:t>a</m:t>
            </m:r>
            <m:r>
              <m:t>g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t>L</m:t>
        </m:r>
        <m:sSub>
          <m:e>
            <m:r>
              <m:t>M</m:t>
            </m:r>
          </m:e>
          <m:sub>
            <m:r>
              <m:t>e</m:t>
            </m:r>
            <m:r>
              <m:t>r</m:t>
            </m:r>
            <m:r>
              <m:t>r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and robust</w:t>
      </w:r>
      <w:r>
        <w:t xml:space="preserve"> </w:t>
      </w:r>
      <m:oMath>
        <m:r>
          <m:t>R</m:t>
        </m:r>
        <m:r>
          <m:t>L</m:t>
        </m:r>
        <m:sSub>
          <m:e>
            <m:r>
              <m:t>M</m:t>
            </m:r>
          </m:e>
          <m:sub>
            <m:r>
              <m:t>l</m:t>
            </m:r>
            <m:r>
              <m:t>a</m:t>
            </m:r>
            <m:r>
              <m:t>g</m:t>
            </m:r>
            <m:r>
              <m:rPr>
                <m:sty m:val="p"/>
              </m:rPr>
              <m:t>/</m:t>
            </m:r>
            <m:r>
              <m:t>e</m:t>
            </m:r>
            <m:r>
              <m:t>r</m:t>
            </m:r>
            <m:r>
              <m:t>r</m:t>
            </m:r>
            <m:r>
              <m:t>o</m:t>
            </m:r>
            <m:r>
              <m:t>r</m:t>
            </m:r>
          </m:sub>
        </m:sSub>
      </m:oMath>
      <w:r>
        <w:t xml:space="preserve">; residual Moran’s I is reported for each fitted model.</w:t>
      </w:r>
    </w:p>
    <w:bookmarkEnd w:id="19"/>
    <w:bookmarkStart w:id="20" w:name="suitability-overlay"/>
    <w:p>
      <w:pPr>
        <w:pStyle w:val="Heading2"/>
      </w:pPr>
      <w:r>
        <w:t xml:space="preserve">3.5 Suitability overlay</w:t>
      </w:r>
    </w:p>
    <w:p>
      <w:pPr>
        <w:pStyle w:val="FirstParagraph"/>
      </w:pPr>
      <w:r>
        <w:t xml:space="preserve">Suitability overlay (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1.7</w:t>
      </w:r>
      <w:r>
        <w:t xml:space="preserve"> </w:t>
      </w:r>
      <w:r>
        <w:t xml:space="preserve">(Hijmans 2023)</w:t>
      </w:r>
      <w:r>
        <w:t xml:space="preserve">) on market/water proximity and unbuilt land will prioritise HH LGAs (Eq.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 — staged as future work to remain within 12 pp.</w:t>
      </w:r>
    </w:p>
    <w:p>
      <w:pPr>
        <w:pStyle w:val="BodyText"/>
      </w:pPr>
      <w:r>
        <w:rPr>
          <w:i/>
          <w:iCs/>
        </w:rPr>
        <w:t xml:space="preserve">Environment:</w:t>
      </w:r>
      <w:r>
        <w:t xml:space="preserve"> </w:t>
      </w:r>
      <w:r>
        <w:t xml:space="preserve">R 4.5.2 (</w:t>
      </w:r>
      <w:r>
        <w:rPr>
          <w:rStyle w:val="VerbatimChar"/>
        </w:rPr>
        <w:t xml:space="preserve">sf</w:t>
      </w:r>
      <w:r>
        <w:t xml:space="preserve"> </w:t>
      </w:r>
      <w:r>
        <w:t xml:space="preserve">1.1.2 GEOS 3.14.1/GDAL 3.12.1/PROJ 9.7.1,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1.9.46,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 </w:t>
      </w:r>
      <w:r>
        <w:t xml:space="preserve">1.4.2,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1.4.3); Python</w:t>
      </w:r>
      <w:r>
        <w:t xml:space="preserve"> 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3.12; Quarto 1.9.38 / Pandoc 3.8.3. Seeds set;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16 entries.</w:t>
      </w:r>
    </w:p>
    <w:bookmarkEnd w:id="20"/>
    <w:bookmarkEnd w:id="21"/>
    <w:bookmarkStart w:id="36" w:name="results"/>
    <w:p>
      <w:pPr>
        <w:pStyle w:val="Heading1"/>
      </w:pPr>
      <w:r>
        <w:t xml:space="preserve">4. Results</w:t>
      </w:r>
    </w:p>
    <w:bookmarkStart w:id="22" w:name="X347cef842ef5ce1af5f6de2f0b207d89c3da5bf"/>
    <w:p>
      <w:pPr>
        <w:pStyle w:val="Heading2"/>
      </w:pPr>
      <w:r>
        <w:t xml:space="preserve">4.1 Urban agriculture footprints (OSM Overpass, frozen 25 Aug 2026)</w:t>
      </w:r>
    </w:p>
    <w:p>
      <w:pPr>
        <w:pStyle w:val="FirstParagraph"/>
      </w:pPr>
      <w:r>
        <w:t xml:space="preserve">484 footprints via Overpass (3 endpoints, dedup</w:t>
      </w:r>
      <w:r>
        <w:t xml:space="preserve"> </w:t>
      </w:r>
      <w:r>
        <w:rPr>
          <w:rStyle w:val="VerbatimChar"/>
        </w:rPr>
        <w:t xml:space="preserve">type+id</w:t>
      </w:r>
      <w:r>
        <w:t xml:space="preserve">) — Kano 189 (39%), Lagos 130, Port Harcourt 88, Gombe 45, Abuja 32. At LGA scale (775), only 39 (5.0%) contain ≥1 point (Ungogo 90, Obio/Akpor 64, 61%), max 1.06 km⁻² (Tarauni), median 0</w:t>
      </w:r>
      <w:r>
        <w:t xml:space="preserve"> </w:t>
      </w:r>
      <w:r>
        <w:t xml:space="preserve">(</w:t>
      </w:r>
      <w:r>
        <w:t xml:space="preserve">Ogundele et al.</w:t>
      </w:r>
      <w:r>
        <w:t xml:space="preserve"> </w:t>
      </w:r>
      <w:r>
        <w:t xml:space="preserve">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1. OSM urban-agriculture points by city (frozen).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Top LGA 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39.0</w:t>
            </w:r>
          </w:p>
        </w:tc>
        <w:tc>
          <w:tcPr/>
          <w:p>
            <w:pPr>
              <w:pStyle w:val="Compact"/>
            </w:pPr>
            <w:r>
              <w:t xml:space="preserve">Ungogo 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Ikorodu 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Obio/Akpor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Akko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Abuja Municipal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 LGAs with ≥1 point (5.0%)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 OSM Overpass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data/raw/osm_urban_ag.csv</w:t>
      </w:r>
      <w:r>
        <w:rPr>
          <w:i/>
          <w:iCs/>
        </w:rPr>
        <w:t xml:space="preserve"> </w:t>
      </w:r>
      <w:r>
        <w:rPr>
          <w:i/>
          <w:iCs/>
        </w:rPr>
        <w:t xml:space="preserve">(484 rows), GADM 4.1 LGA join (</w:t>
      </w:r>
      <w:r>
        <w:rPr>
          <w:rStyle w:val="VerbatimChar"/>
          <w:i/>
          <w:iCs/>
        </w:rPr>
        <w:t xml:space="preserve">results/lga_lisa.gpkg</w:t>
      </w:r>
      <w:r>
        <w:rPr>
          <w:i/>
          <w:iCs/>
        </w:rPr>
        <w:t xml:space="preserve">).</w:t>
      </w:r>
    </w:p>
    <w:bookmarkEnd w:id="22"/>
    <w:bookmarkStart w:id="23" w:name="climate-context-nasa-power-2023-daily"/>
    <w:p>
      <w:pPr>
        <w:pStyle w:val="Heading2"/>
      </w:pPr>
      <w:r>
        <w:t xml:space="preserve">4.2 Climate context (NASA POWER, 2023 daily)</w:t>
      </w:r>
    </w:p>
    <w:p>
      <w:pPr>
        <w:pStyle w:val="FirstParagraph"/>
      </w:pPr>
      <w:r>
        <w:t xml:space="preserve">NASA POWER AG daily T2M, PRECTOTCORR, RH2M for five centroids (Table 2) span 25.9–27.3°C and 404–1,891 mm (RH 42.1–87.7%), retained as LGA covariates via state for H2–H3 (Eqs.4–5)</w:t>
      </w:r>
      <w:r>
        <w:t xml:space="preserve"> </w:t>
      </w:r>
      <w:r>
        <w:t xml:space="preserve">(</w:t>
      </w:r>
      <w:r>
        <w:t xml:space="preserve">Stackhouse et al.</w:t>
      </w:r>
      <w:r>
        <w:t xml:space="preserve"> </w:t>
      </w:r>
      <w:r>
        <w:t xml:space="preserve">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 NASA POWER 2023 annual climate by city (</w:t>
      </w:r>
      <w:r>
        <w:rPr>
          <w:rStyle w:val="VerbatimChar"/>
          <w:b/>
          <w:bCs/>
        </w:rPr>
        <w:t xml:space="preserve">data/processed/nasa_annual.csv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T2M mean (°C)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PRECTOT sum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RH2M mean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87.7</w:t>
            </w:r>
          </w:p>
        </w:tc>
      </w:tr>
    </w:tbl>
    <w:bookmarkEnd w:id="23"/>
    <w:bookmarkStart w:id="24" w:name="X144387b328a91905e766ccc557753a295d1a880"/>
    <w:p>
      <w:pPr>
        <w:pStyle w:val="Heading2"/>
      </w:pPr>
      <w:r>
        <w:t xml:space="preserve">4.3 World Bank national backdrop (frozen 25 Aug 2026)</w:t>
      </w:r>
    </w:p>
    <w:p>
      <w:pPr>
        <w:pStyle w:val="FirstParagraph"/>
      </w:pPr>
      <w:r>
        <w:t xml:space="preserve">National WDI: urban pop 146,531,222 in 2024</w:t>
      </w:r>
      <w:r>
        <w:t xml:space="preserve"> </w:t>
      </w:r>
      <w:r>
        <w:t xml:space="preserve">(World Bank 2024)</w:t>
      </w:r>
      <w:r>
        <w:t xml:space="preserve">, food index 119.9 in 2022, undernourishment 19.9% in 2023 (75 rows, CC BY 4.0)</w:t>
      </w:r>
      <w:r>
        <w:t xml:space="preserve"> </w:t>
      </w:r>
      <w:r>
        <w:t xml:space="preserve">(FAO, IFAD, UNICEF, WFP and WHO 2023)</w:t>
      </w:r>
      <w:r>
        <w:t xml:space="preserve">. National aggregates cannot be LGA-joined, so Moran is on density (Table 3); DHS/NLSS next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.</w:t>
      </w:r>
    </w:p>
    <w:bookmarkEnd w:id="24"/>
    <w:bookmarkStart w:id="25" w:name="spatial-dependence"/>
    <w:p>
      <w:pPr>
        <w:pStyle w:val="Heading2"/>
      </w:pPr>
      <w:r>
        <w:t xml:space="preserve">4.4 Spatial dependence</w:t>
      </w:r>
    </w:p>
    <w:p>
      <w:pPr>
        <w:pStyle w:val="FirstParagraph"/>
      </w:pPr>
      <w:r>
        <w:t xml:space="preserve">Global Moran’s I was computed on queen-contiguity weights (</w:t>
      </w:r>
      <w:r>
        <w:rPr>
          <w:rStyle w:val="VerbatimChar"/>
        </w:rPr>
        <w:t xml:space="preserve">spdep::poly2nb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nb2listw</w:t>
      </w:r>
      <w:r>
        <w:t xml:space="preserve"> </w:t>
      </w:r>
      <w:r>
        <w:t xml:space="preserve">style W, zero.policy=TRUE) for 775 LGAs.</w:t>
      </w:r>
    </w:p>
    <w:p>
      <w:pPr>
        <w:pStyle w:val="BodyText"/>
      </w:pPr>
      <w:r>
        <w:rPr>
          <w:b/>
          <w:bCs/>
        </w:rPr>
        <w:t xml:space="preserve">Table 3. Global Moran’s I (775 LGAs, queen contiguity).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Moran 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(n km⁻²)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Density clustering exceeds counts (median 0, mean 0.62), validating area normalisation. LISA HH centres on Kano metropolis and Obio/Akpor; LL spans sparsely-mapped savanna; HL/LH rare (&lt;10). Excluding Kano (</w:t>
      </w:r>
      <m:oMath>
        <m:r>
          <m:t>N</m:t>
        </m:r>
        <m:r>
          <m:rPr>
            <m:sty m:val="p"/>
          </m:rPr>
          <m:t>=</m:t>
        </m:r>
        <m:r>
          <m:t>731</m:t>
        </m:r>
      </m:oMath>
      <w:r>
        <w:t xml:space="preserve">) retains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0.274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16.3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area</m:t>
        </m:r>
        <m:r>
          <m:rPr>
            <m:sty m:val="p"/>
          </m:rPr>
          <m:t>)</m:t>
        </m:r>
      </m:oMath>
      <w:r>
        <w:t xml:space="preserve"> </w:t>
      </w:r>
      <m:oMath>
        <m:r>
          <m:rPr>
            <m:sty m:val="p"/>
          </m:rPr>
          <m:t>−</m:t>
        </m:r>
        <m:r>
          <m:t>0.0037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confirming H1/H3 are not Kano-driven. This justifies spatial regression.</w:t>
      </w:r>
    </w:p>
    <w:bookmarkEnd w:id="25"/>
    <w:bookmarkStart w:id="34" w:name="new-density-vs-climate-and-scale-h2h3"/>
    <w:p>
      <w:pPr>
        <w:pStyle w:val="Heading2"/>
      </w:pPr>
      <w:r>
        <w:t xml:space="preserve">4.5 New: density vs climate and scale (H2–H3)</w:t>
      </w:r>
    </w:p>
    <w:p>
      <w:pPr>
        <w:pStyle w:val="FirstParagraph"/>
      </w:pPr>
      <w:r>
        <w:t xml:space="preserve">For 39 LGAs with points we assigned city-level climate (34 mapped) and computed Spearman correlations. Rainfall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) and temperature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0.44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0.009</m:t>
        </m:r>
      </m:oMath>
      <w:r>
        <w:t xml:space="preserve">) indicate drier/hotter LGAs host higher density (H2); area contrast Tarauni 23.6 km² 1.06 vs Ungogo 187 km² 0.48 supports H3 (Figure 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isa"/>
          <w:p>
            <w:pPr>
              <w:pStyle w:val="Compact"/>
              <w:jc w:val="center"/>
            </w:pPr>
            <w:r>
              <w:drawing>
                <wp:inline>
                  <wp:extent cx="1828800" cy="16002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lisa_ma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600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Figure 1. LISA density (points km⁻²) per LGA, queen contiguity, p&lt;0.05.</w:t>
            </w:r>
          </w:p>
          <w:bookmarkEnd w:id="29"/>
        </w:tc>
      </w:tr>
    </w:tbl>
    <w:p>
      <w:pPr>
        <w:pStyle w:val="BodyText"/>
      </w:pPr>
      <w:r>
        <w:t xml:space="preserve">Figure 1: HH centres on Kano metropolis and Obio/Akpor; LL savanna; HL/LH rare (&lt;10).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scatter"/>
          <w:p>
            <w:pPr>
              <w:pStyle w:val="Compact"/>
              <w:jc w:val="center"/>
            </w:pPr>
            <w:r>
              <w:drawing>
                <wp:inline>
                  <wp:extent cx="1828800" cy="1306285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vs_rainfall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3062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Figure 2. Density vs rainfall (34 LGAs,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0.31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0.076</m:t>
              </m:r>
            </m:oMath>
            <w:r>
              <w:t xml:space="preserve">).</w:t>
            </w:r>
          </w:p>
          <w:bookmarkEnd w:id="33"/>
        </w:tc>
      </w:tr>
    </w:tbl>
    <w:p>
      <w:pPr>
        <w:pStyle w:val="BodyText"/>
      </w:pPr>
      <w:r>
        <w:rPr>
          <w:b/>
          <w:bCs/>
        </w:rPr>
        <w:t xml:space="preserve">Table 4. Top-10 LGAs by density (km⁻²) — the high-intensity core (</w:t>
      </w:r>
      <w:r>
        <w:rPr>
          <w:rStyle w:val="VerbatimChar"/>
          <w:b/>
          <w:bCs/>
        </w:rPr>
        <w:t xml:space="preserve">results/top10_density.csv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GID_2</w:t>
            </w:r>
          </w:p>
        </w:tc>
        <w:tc>
          <w:tcPr/>
          <w:p>
            <w:pPr>
              <w:pStyle w:val="Compact"/>
            </w:pPr>
            <w:r>
              <w:t xml:space="preserve">LGA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area km²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NGA.20.38_1</w:t>
            </w:r>
          </w:p>
        </w:tc>
        <w:tc>
          <w:tcPr/>
          <w:p>
            <w:pPr>
              <w:pStyle w:val="Compact"/>
            </w:pPr>
            <w:r>
              <w:t xml:space="preserve">Tarauni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NGA.25.19_1</w:t>
            </w:r>
          </w:p>
        </w:tc>
        <w:tc>
          <w:tcPr/>
          <w:p>
            <w:pPr>
              <w:pStyle w:val="Compact"/>
            </w:pPr>
            <w:r>
              <w:t xml:space="preserve">Shomolu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NGA.20.42_1</w:t>
            </w:r>
          </w:p>
        </w:tc>
        <w:tc>
          <w:tcPr/>
          <w:p>
            <w:pPr>
              <w:pStyle w:val="Compact"/>
            </w:pPr>
            <w:r>
              <w:t xml:space="preserve">Ungogo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NGA.33.15_1</w:t>
            </w:r>
          </w:p>
        </w:tc>
        <w:tc>
          <w:tcPr/>
          <w:p>
            <w:pPr>
              <w:pStyle w:val="Compact"/>
            </w:pPr>
            <w:r>
              <w:t xml:space="preserve">Obio/Akpor</w:t>
            </w:r>
          </w:p>
        </w:tc>
        <w:tc>
          <w:tcPr/>
          <w:p>
            <w:pPr>
              <w:pStyle w:val="Compact"/>
            </w:pPr>
            <w:r>
              <w:t xml:space="preserve">Rivers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NGA.25.16_1</w:t>
            </w:r>
          </w:p>
        </w:tc>
        <w:tc>
          <w:tcPr/>
          <w:p>
            <w:pPr>
              <w:pStyle w:val="Compact"/>
            </w:pPr>
            <w:r>
              <w:t xml:space="preserve">Mushin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NGA.20.18_1</w:t>
            </w:r>
          </w:p>
        </w:tc>
        <w:tc>
          <w:tcPr/>
          <w:p>
            <w:pPr>
              <w:pStyle w:val="Compact"/>
            </w:pPr>
            <w:r>
              <w:t xml:space="preserve">Gwale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NGA.20.31_1</w:t>
            </w:r>
          </w:p>
        </w:tc>
        <w:tc>
          <w:tcPr/>
          <w:p>
            <w:pPr>
              <w:pStyle w:val="Compact"/>
            </w:pPr>
            <w:r>
              <w:t xml:space="preserve">Nasarawa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NGA.20.21_1</w:t>
            </w:r>
          </w:p>
        </w:tc>
        <w:tc>
          <w:tcPr/>
          <w:p>
            <w:pPr>
              <w:pStyle w:val="Compact"/>
            </w:pPr>
            <w:r>
              <w:t xml:space="preserve">Kano Municipal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NGA.20.12_1</w:t>
            </w:r>
          </w:p>
        </w:tc>
        <w:tc>
          <w:tcPr/>
          <w:p>
            <w:pPr>
              <w:pStyle w:val="Compact"/>
            </w:pPr>
            <w:r>
              <w:t xml:space="preserve">Fagge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NGA.25.12_1</w:t>
            </w:r>
          </w:p>
        </w:tc>
        <w:tc>
          <w:tcPr/>
          <w:p>
            <w:pPr>
              <w:pStyle w:val="Compact"/>
            </w:pPr>
            <w:r>
              <w:t xml:space="preserve">Ikorodu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n.s.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Tarauni/Shomolu &gt;0.5 km⁻² vs Ikorodu 0.14 (53 pts, 369 km²) — density matters.</w:t>
      </w:r>
    </w:p>
    <w:bookmarkEnd w:id="34"/>
    <w:bookmarkStart w:id="35" w:name="X644afe0923e1d62a5162ee0fe65edab1900077b"/>
    <w:p>
      <w:pPr>
        <w:pStyle w:val="Heading2"/>
      </w:pPr>
      <w:r>
        <w:t xml:space="preserve">4.6 Spatial regression: estimates and model selection</w:t>
      </w:r>
    </w:p>
    <w:p>
      <w:pPr>
        <w:pStyle w:val="FirstParagraph"/>
      </w:pPr>
      <w:r>
        <w:t xml:space="preserve">Coefficients via ML (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1.4.3, queen</w:t>
      </w:r>
      <w:r>
        <w:t xml:space="preserve"> </w:t>
      </w:r>
      <m:oMath>
        <m:r>
          <m:rPr>
            <m:sty m:val="b"/>
          </m:rPr>
          <m:t>W</m:t>
        </m:r>
      </m:oMath>
      <w:r>
        <w:t xml:space="preserve"> </w:t>
      </w:r>
      <w:r>
        <w:t xml:space="preserve">775×775 and 34×34). Table 5: density–scale (775); Table 6: +climate (34).</w:t>
      </w:r>
    </w:p>
    <w:p>
      <w:pPr>
        <w:pStyle w:val="BodyText"/>
      </w:pPr>
      <w:r>
        <w:rPr>
          <w:b/>
          <w:bCs/>
        </w:rPr>
        <w:t xml:space="preserve">Table 5. Density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(points km⁻²) regressed on log area,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775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LGAs.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log(area)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-0.0086 (0.0014)***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-2485.2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 (Eq.</w:t>
            </w:r>
            <w:r>
              <w:t xml:space="preserve"> </w:t>
            </w:r>
            <w:hyperlink w:anchor="eq-lag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-0.0052 (0.0013)***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0.419</m:t>
              </m:r>
            </m:oMath>
            <w:r>
              <w:t xml:space="preserve">***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-2577.5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(Eq.</w:t>
            </w:r>
            <w:r>
              <w:t xml:space="preserve"> </w:t>
            </w:r>
            <w:hyperlink w:anchor="eq-error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-0.0058 (0.0017)***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0.419</m:t>
              </m:r>
            </m:oMath>
            <w:r>
              <w:t xml:space="preserve">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-2572.9</w:t>
            </w:r>
          </w:p>
        </w:tc>
      </w:tr>
    </w:tbl>
    <w:p>
      <w:pPr>
        <w:pStyle w:val="BodyText"/>
      </w:pPr>
      <w:r>
        <w:rPr>
          <w:i/>
          <w:iCs/>
        </w:rPr>
        <w:t xml:space="preserve">SE in parentheses;</w:t>
      </w:r>
      <w:r>
        <w:rPr>
          <w:i/>
          <w:iCs/>
        </w:rPr>
        <w:t xml:space="preserve"> </w:t>
      </w:r>
      <w:r>
        <w:t xml:space="preserve">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  <w:r>
        <w:t xml:space="preserve"> </w:t>
      </w:r>
      <m:oMath>
        <m:r>
          <m:t>L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s</m:t>
            </m:r>
            <m:r>
              <m:t>p</m:t>
            </m:r>
            <m:r>
              <m:t>a</m:t>
            </m:r>
            <m:r>
              <m:t>t</m:t>
            </m:r>
            <m:r>
              <m:t>i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O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. Lag preferred (</w:t>
      </w:r>
      <m:oMath>
        <m:r>
          <m:rPr>
            <m:sty m:val="p"/>
          </m:rPr>
          <m:t>Δ</m:t>
        </m:r>
      </m:oMath>
      <w:r>
        <w:t xml:space="preserve">AIC -4.6); residual</w:t>
      </w:r>
      <w:r>
        <w:t xml:space="preserve"> </w:t>
      </w:r>
      <m:oMath>
        <m:r>
          <m:t>L</m:t>
        </m:r>
        <m:r>
          <m:t>M</m:t>
        </m:r>
        <m:r>
          <m:rPr>
            <m:sty m:val="p"/>
          </m:rPr>
          <m:t>=</m:t>
        </m:r>
        <m:r>
          <m:t>48.2</m:t>
        </m:r>
      </m:oMath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remains due to zero-inflation, but AIC halves versus OLS.*</w:t>
      </w:r>
    </w:p>
    <w:p>
      <w:pPr>
        <w:pStyle w:val="BodyText"/>
      </w:pPr>
      <w:r>
        <w:t xml:space="preserve">Negative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area</m:t>
        </m:r>
        <m:r>
          <m:rPr>
            <m:sty m:val="p"/>
          </m:rPr>
          <m:t>)</m:t>
        </m:r>
      </m:oMath>
      <w:r>
        <w:t xml:space="preserve"> </w:t>
      </w:r>
      <w:r>
        <w:t xml:space="preserve">confirms H3 (</w:t>
      </w:r>
      <m:oMath>
        <m:r>
          <m:rPr>
            <m:sty m:val="p"/>
          </m:rPr>
          <m:t>−</m:t>
        </m:r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0.009</m:t>
        </m:r>
      </m:oMath>
      <w:r>
        <w:t xml:space="preserve">);</w:t>
      </w:r>
      <w:r>
        <w:t xml:space="preserve"> </w:t>
      </w:r>
      <m:oMath>
        <m:r>
          <m:t>ρ</m:t>
        </m:r>
      </m:oMath>
      <w:r>
        <w:t xml:space="preserve">/</w:t>
      </w:r>
      <m:oMath>
        <m:r>
          <m:t>λ</m:t>
        </m:r>
      </m:oMath>
      <w:r>
        <w:t xml:space="preserve"> </w:t>
      </w:r>
      <w:r>
        <w:t xml:space="preserve">0.42 ($z</w:t>
      </w:r>
      <w:r>
        <w:t xml:space="preserve">$9) quantifies spillover, validating OLS rejection. Small Tarauni (23.6 km² 1.06) vs large Ikorodu (369 km² 0.14) illustrates (Table 4).</w:t>
      </w:r>
    </w:p>
    <w:p>
      <w:pPr>
        <w:pStyle w:val="BodyText"/>
      </w:pPr>
      <w:r>
        <w:rPr>
          <w:b/>
          <w:bCs/>
        </w:rPr>
        <w:t xml:space="preserve">Table 6. Density with climate,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34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LGAs.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log(area)</w:t>
            </w:r>
          </w:p>
        </w:tc>
        <w:tc>
          <w:tcPr/>
          <w:p>
            <w:pPr>
              <w:pStyle w:val="Compact"/>
            </w:pPr>
            <w:r>
              <w:t xml:space="preserve">PRECTOT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-0.0635*</w:t>
            </w:r>
          </w:p>
        </w:tc>
        <w:tc>
          <w:tcPr/>
          <w:p>
            <w:pPr>
              <w:pStyle w:val="Compact"/>
            </w:pPr>
            <w:r>
              <w:t xml:space="preserve">-0.000085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-0.0797***</w:t>
            </w:r>
          </w:p>
        </w:tc>
        <w:tc>
          <w:tcPr/>
          <w:p>
            <w:pPr>
              <w:pStyle w:val="Compact"/>
            </w:pPr>
            <w:r>
              <w:t xml:space="preserve">-0.000135*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0.438</m:t>
              </m:r>
            </m:oMath>
            <w:r>
              <w:t xml:space="preserve">*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-12.39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-0.0656***</w:t>
            </w:r>
          </w:p>
        </w:tc>
        <w:tc>
          <w:tcPr/>
          <w:p>
            <w:pPr>
              <w:pStyle w:val="Compact"/>
            </w:pPr>
            <w:r>
              <w:t xml:space="preserve">-0.000100*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0.476</m:t>
              </m:r>
            </m:oMath>
            <w:r>
              <w:t xml:space="preserve">**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-12.75</w:t>
            </w:r>
          </w:p>
        </w:tc>
      </w:tr>
    </w:tbl>
    <w:p>
      <w:pPr>
        <w:pStyle w:val="BodyText"/>
      </w:pPr>
      <w:r>
        <w:rPr>
          <w:i/>
          <w:iCs/>
        </w:rPr>
        <w:t xml:space="preserve">`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 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; intercept omitted for brevity; one isolate among 34 (queen). Error is preferred (</w:t>
      </w:r>
      <m:oMath>
        <m:r>
          <m:rPr>
            <m:sty m:val="p"/>
          </m:rPr>
          <m:t>Δ</m:t>
        </m:r>
      </m:oMath>
      <w:r>
        <w:t xml:space="preserve">AIC -0.36).*</w:t>
      </w:r>
    </w:p>
    <w:p>
      <w:pPr>
        <w:pStyle w:val="BodyText"/>
      </w:pPr>
      <w:r>
        <w:t xml:space="preserve">Bivariate PRECTOT was marginal (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); after conditioning on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area</m:t>
        </m:r>
        <m:r>
          <m:rPr>
            <m:sty m:val="p"/>
          </m:rPr>
          <m:t>)</m:t>
        </m:r>
      </m:oMath>
      <w:r>
        <w:t xml:space="preserve"> </w:t>
      </w:r>
      <w:r>
        <w:t xml:space="preserve">and spatial error, it becomes significant (lag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0.035</m:t>
        </m:r>
      </m:oMath>
      <w:r>
        <w:t xml:space="preserve">, error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0.018</m:t>
        </m:r>
      </m:oMath>
      <w:r>
        <w:t xml:space="preserve">), supporting H2: drier LGAs (Kano 404 mm vs PH 1,891 mm) host higher density</w:t>
      </w:r>
      <w:r>
        <w:t xml:space="preserve"> </w:t>
      </w:r>
      <w:r>
        <w:t xml:space="preserve">(</w:t>
      </w:r>
      <w:r>
        <w:t xml:space="preserve">Muhammed et al.</w:t>
      </w:r>
      <w:r>
        <w:t xml:space="preserve"> </w:t>
      </w:r>
      <w:r>
        <w:t xml:space="preserve">2022)</w:t>
      </w:r>
      <w:r>
        <w:t xml:space="preserve">. T2M is non-significant. Negative</w:t>
      </w:r>
      <w:r>
        <w:t xml:space="preserve"> </w:t>
      </w:r>
      <m:oMath>
        <m:r>
          <m:t>ρ</m:t>
        </m:r>
      </m:oMath>
      <w:r>
        <w:t xml:space="preserve">/</w:t>
      </w:r>
      <m:oMath>
        <m:r>
          <m:t>λ</m:t>
        </m:r>
      </m:oMath>
      <w:r>
        <w:t xml:space="preserve"> </w:t>
      </w:r>
      <w:r>
        <w:t xml:space="preserve">reflects the fragmented 34-sample (5 sub-graphs, one isolate) — interpret cautiously — but spatial AIC improves ~2 points and sharpens PRECTOT. Kano-excluded sensitivity (</w:t>
      </w:r>
      <m:oMath>
        <m:r>
          <m:t>N</m:t>
        </m:r>
        <m:r>
          <m:rPr>
            <m:sty m:val="p"/>
          </m:rPr>
          <m:t>=</m:t>
        </m:r>
        <m:r>
          <m:t>21</m:t>
        </m:r>
      </m:oMath>
      <w:r>
        <w:t xml:space="preserve">) attenuates but does not reverse the sign.</w:t>
      </w:r>
    </w:p>
    <w:bookmarkEnd w:id="35"/>
    <w:bookmarkEnd w:id="36"/>
    <w:bookmarkStart w:id="42" w:name="discussion"/>
    <w:p>
      <w:pPr>
        <w:pStyle w:val="Heading1"/>
      </w:pPr>
      <w:r>
        <w:t xml:space="preserve">5. Discussion</w:t>
      </w:r>
    </w:p>
    <w:bookmarkStart w:id="37" w:name="climate-smart-agriculture-sub-theme-6"/>
    <w:p>
      <w:pPr>
        <w:pStyle w:val="Heading3"/>
      </w:pPr>
      <w:r>
        <w:t xml:space="preserve">5.0.1 Climate-smart agriculture (sub-theme 6)</w:t>
      </w:r>
    </w:p>
    <w:p>
      <w:pPr>
        <w:pStyle w:val="FirstParagraph"/>
      </w:pPr>
      <w:r>
        <w:t xml:space="preserve">HH clusters in hot/dry Kano reflect fadama</w:t>
      </w:r>
      <w:r>
        <w:t xml:space="preserve"> </w:t>
      </w:r>
      <w:r>
        <w:t xml:space="preserve">(</w:t>
      </w:r>
      <w:r>
        <w:t xml:space="preserve">Muhammed et al.</w:t>
      </w:r>
      <w:r>
        <w:t xml:space="preserve"> </w:t>
      </w:r>
      <w:r>
        <w:t xml:space="preserve">2022)</w:t>
      </w:r>
      <w:r>
        <w:t xml:space="preserve">; rainfall becomes $ -0.00010$ (</w:t>
      </w:r>
      <m:oMath>
        <m:r>
          <m:t>p</m:t>
        </m:r>
        <m:r>
          <m:rPr>
            <m:sty m:val="p"/>
          </m:rPr>
          <m:t>=</m:t>
        </m:r>
        <m:r>
          <m:t>0.018</m:t>
        </m:r>
      </m:oMath>
      <w:r>
        <w:t xml:space="preserve">) after correction (Table 6), implying 1,487 mm →0.15 km⁻² (15% Tarauni)</w:t>
      </w:r>
      <w:r>
        <w:t xml:space="preserve"> </w:t>
      </w:r>
      <w:r>
        <w:t xml:space="preserve">(FAO, IFAD, UNICEF, WFP and WHO 2023)</w:t>
      </w:r>
      <w:r>
        <w:t xml:space="preserve">.</w:t>
      </w:r>
    </w:p>
    <w:bookmarkEnd w:id="37"/>
    <w:bookmarkStart w:id="38" w:name="gis-and-urban-planning-10"/>
    <w:p>
      <w:pPr>
        <w:pStyle w:val="Heading3"/>
      </w:pPr>
      <w:r>
        <w:t xml:space="preserve">5.0.2 GIS and urban planning (#10)</w:t>
      </w:r>
    </w:p>
    <w:p>
      <w:pPr>
        <w:pStyle w:val="FirstParagraph"/>
      </w:pPr>
      <w:r>
        <w:t xml:space="preserve">LISA HH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(Eq.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); queen</w:t>
      </w:r>
      <w:r>
        <w:t xml:space="preserve"> </w:t>
      </w:r>
      <m:oMath>
        <m:r>
          <m:rPr>
            <m:sty m:val="b"/>
          </m:rPr>
          <m:t>W</m:t>
        </m:r>
      </m:oMath>
      <w:r>
        <w:t xml:space="preserve"> </w:t>
      </w:r>
      <w:r>
        <w:t xml:space="preserve">(Eq.</w:t>
      </w:r>
      <w:r>
        <w:t xml:space="preserve"> </w:t>
      </w:r>
      <w:hyperlink w:anchor="eq-w">
        <w:r>
          <w:rPr>
            <w:rStyle w:val="Hyperlink"/>
          </w:rPr>
          <w:t xml:space="preserve">Equation 1</w:t>
        </w:r>
      </w:hyperlink>
      <w:r>
        <w:t xml:space="preserve">) suits irregular LGAs. Map (Figure 1) is a targeting tool via OSM+GADM</w:t>
      </w:r>
      <w:r>
        <w:t xml:space="preserve"> </w:t>
      </w:r>
      <w:r>
        <w:t xml:space="preserve">(OpenStreetMap contributors 2024)</w:t>
      </w:r>
      <w:r>
        <w:t xml:space="preserve">. HH rings merit protection; LL savanna are greenfield. With 5% LGAs containing points, selective zoning avoids dilution (Table 4)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.</w:t>
      </w:r>
    </w:p>
    <w:bookmarkEnd w:id="38"/>
    <w:bookmarkStart w:id="39" w:name="Xbe746208ea8bfbd00222f6bb4b8af40b9efff32"/>
    <w:p>
      <w:pPr>
        <w:pStyle w:val="Heading3"/>
      </w:pPr>
      <w:r>
        <w:t xml:space="preserve">5.0.3 Environmental sustainability &amp; circular economy (#13)</w:t>
      </w:r>
    </w:p>
    <w:p>
      <w:pPr>
        <w:pStyle w:val="FirstParagraph"/>
      </w:pPr>
      <w:r>
        <w:t xml:space="preserve">Composting waste into soil closes a circular loop.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 (market/water/unbuilt land) will prioritise HH Table 4 LGAs (Tarauni 1.06, Shomolu 0.55) where compost marginal product is highest. Nigerian precedent 0.5–1.0 kg capita⁻¹ day⁻¹</w:t>
      </w:r>
      <w:r>
        <w:t xml:space="preserve"> </w:t>
      </w:r>
      <w:r>
        <w:t xml:space="preserve">(</w:t>
      </w:r>
      <w:r>
        <w:t xml:space="preserve">Olanrewaju et al.</w:t>
      </w:r>
      <w:r>
        <w:t xml:space="preserve"> </w:t>
      </w:r>
      <w:r>
        <w:t xml:space="preserve">2022)</w:t>
      </w:r>
      <w:r>
        <w:t xml:space="preserve">; 20% diversion could offset the PRECTOT gap (Table 6) — a double dividend for sub-theme 13</w:t>
      </w:r>
      <w:r>
        <w:t xml:space="preserve"> </w:t>
      </w:r>
      <w:r>
        <w:t xml:space="preserve">(Abubakar and Dano 2023)</w:t>
      </w:r>
      <w:r>
        <w:t xml:space="preserve">.</w:t>
      </w:r>
    </w:p>
    <w:bookmarkEnd w:id="39"/>
    <w:bookmarkStart w:id="40" w:name="rural-transformation-bridge"/>
    <w:p>
      <w:pPr>
        <w:pStyle w:val="Heading3"/>
      </w:pPr>
      <w:r>
        <w:t xml:space="preserve">5.0.4 Rural transformation bridge</w:t>
      </w:r>
    </w:p>
    <w:p>
      <w:pPr>
        <w:pStyle w:val="FirstParagraph"/>
      </w:pPr>
      <w:r>
        <w:t xml:space="preserve">Urban agriculture buffers rural price shocks (food index 119.9)</w:t>
      </w:r>
      <w:r>
        <w:t xml:space="preserve"> </w:t>
      </w:r>
      <w:r>
        <w:t xml:space="preserve">(World Bank 2024)</w:t>
      </w:r>
      <w:r>
        <w:t xml:space="preserve">; policy should link rural–urban seed/compost and fadama corridors</w:t>
      </w:r>
      <w:r>
        <w:t xml:space="preserve"> </w:t>
      </w:r>
      <w:r>
        <w:t xml:space="preserve">(</w:t>
      </w:r>
      <w:r>
        <w:t xml:space="preserve">Udoh et al.</w:t>
      </w:r>
      <w:r>
        <w:t xml:space="preserve"> </w:t>
      </w:r>
      <w:r>
        <w:t xml:space="preserve">2022)</w:t>
      </w:r>
      <w:r>
        <w:t xml:space="preserve">.</w:t>
      </w:r>
    </w:p>
    <w:bookmarkEnd w:id="40"/>
    <w:bookmarkStart w:id="41" w:name="limitations"/>
    <w:p>
      <w:pPr>
        <w:pStyle w:val="Heading3"/>
      </w:pPr>
      <w:r>
        <w:t xml:space="preserve">5.0.5 Limitations</w:t>
      </w:r>
    </w:p>
    <w:p>
      <w:pPr>
        <w:pStyle w:val="FirstParagraph"/>
      </w:pPr>
      <w:r>
        <w:t xml:space="preserve">OSM bias (6.6–39.0%) mitigated by density + Kano-excluded sensitivity; WB national series not LGA-joinable (Moran on density); FAOSTAT 521 stub awaits manual CSV; 2023 climate window only; zero-inflation (median 0) warrants hurdle models beyond Eqs. 4–5.</w:t>
      </w:r>
    </w:p>
    <w:bookmarkEnd w:id="41"/>
    <w:bookmarkEnd w:id="42"/>
    <w:bookmarkStart w:id="43" w:name="conclusion-and-policy-implications"/>
    <w:p>
      <w:pPr>
        <w:pStyle w:val="Heading1"/>
      </w:pPr>
      <w:r>
        <w:t xml:space="preserve">6. Conclusion and Policy Implications</w:t>
      </w:r>
    </w:p>
    <w:p>
      <w:pPr>
        <w:pStyle w:val="FirstParagraph"/>
      </w:pPr>
      <w:r>
        <w:t xml:space="preserve">Urban agriculture is clustered: 5% LGAs hold 484 points, density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0.300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17.6</m:t>
        </m:r>
      </m:oMath>
      <w:r>
        <w:t xml:space="preserve">, H1) concentrated in hot/dry LGAs (</w:t>
      </w:r>
      <m:oMath>
        <m:sSub>
          <m:e>
            <m:r>
              <m:t>ρ</m:t>
            </m:r>
          </m:e>
          <m:sub>
            <m:r>
              <m:t>T</m:t>
            </m:r>
            <m:r>
              <m:t>2</m:t>
            </m:r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0.44</m:t>
        </m:r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, H2) with Tarauni 1.06 and Shomolu 0.55 leading (Table 4). Levers: (i) allotment zoning for HH LGAs (Kano metropolis, Mushin/Shomolu, Ikorodu) and fadama buffers; (ii) compost circularity via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</w:t>
      </w:r>
      <w:r>
        <w:t xml:space="preserve"> </w:t>
      </w:r>
      <w:r>
        <w:t xml:space="preserve">(</w:t>
      </w:r>
      <w:r>
        <w:t xml:space="preserve">Olanrewaju et al.</w:t>
      </w:r>
      <w:r>
        <w:t xml:space="preserve"> </w:t>
      </w:r>
      <w:r>
        <w:t xml:space="preserve">2022)</w:t>
      </w:r>
      <w:r>
        <w:t xml:space="preserve">. This bridges urban–rural resilience; DHS/NLSS linkage and multi-year climate are next steps.</w:t>
      </w:r>
    </w:p>
    <w:bookmarkEnd w:id="43"/>
    <w:bookmarkStart w:id="68" w:name="references"/>
    <w:p>
      <w:pPr>
        <w:pStyle w:val="Heading1"/>
      </w:pPr>
      <w:r>
        <w:t xml:space="preserve">7. References</w:t>
      </w:r>
    </w:p>
    <w:bookmarkStart w:id="67" w:name="refs"/>
    <w:bookmarkStart w:id="44" w:name="ref-abubakar2023"/>
    <w:p>
      <w:pPr>
        <w:pStyle w:val="Bibliography"/>
      </w:pPr>
      <w:r>
        <w:t xml:space="preserve">Abubakar, I. R., and U. L. Dano. 2023.</w:t>
      </w:r>
      <w:r>
        <w:t xml:space="preserve"> </w:t>
      </w:r>
      <w:r>
        <w:t xml:space="preserve">“Sustainable Urban Planning and Food Security in Nigeria.”</w:t>
      </w:r>
      <w:r>
        <w:t xml:space="preserve"> </w:t>
      </w:r>
      <w:r>
        <w:rPr>
          <w:i/>
          <w:iCs/>
        </w:rPr>
        <w:t xml:space="preserve">Land Use Policy</w:t>
      </w:r>
      <w:r>
        <w:t xml:space="preserve">.</w:t>
      </w:r>
    </w:p>
    <w:bookmarkEnd w:id="44"/>
    <w:bookmarkStart w:id="45" w:name="ref-adeleye2024"/>
    <w:p>
      <w:pPr>
        <w:pStyle w:val="Bibliography"/>
      </w:pPr>
      <w:r>
        <w:t xml:space="preserve">Adeleye, B. M. et al.</w:t>
      </w:r>
      <w:r>
        <w:t xml:space="preserve"> 2024.</w:t>
      </w:r>
      <w:r>
        <w:t xml:space="preserve"> </w:t>
      </w:r>
      <w:r>
        <w:t xml:space="preserve">“Spatial Econometrics of Urban Food Security in Nigeria: A Subnational Assessment.”</w:t>
      </w:r>
      <w:r>
        <w:t xml:space="preserve"> </w:t>
      </w:r>
      <w:r>
        <w:rPr>
          <w:i/>
          <w:iCs/>
        </w:rPr>
        <w:t xml:space="preserve">Spatial Statistics</w:t>
      </w:r>
      <w:r>
        <w:t xml:space="preserve"> </w:t>
      </w:r>
      <w:r>
        <w:t xml:space="preserve">60: 100820.</w:t>
      </w:r>
    </w:p>
    <w:bookmarkEnd w:id="45"/>
    <w:bookmarkStart w:id="47" w:name="ref-anselin1995"/>
    <w:p>
      <w:pPr>
        <w:pStyle w:val="Bibliography"/>
      </w:pPr>
      <w:r>
        <w:t xml:space="preserve">Anselin, L. 1995.</w:t>
      </w:r>
      <w:r>
        <w:t xml:space="preserve"> </w:t>
      </w:r>
      <w:r>
        <w:t xml:space="preserve">“Local Indicators of Spatial Association — LISA.”</w:t>
      </w:r>
      <w:r>
        <w:t xml:space="preserve"> </w:t>
      </w:r>
      <w:r>
        <w:rPr>
          <w:i/>
          <w:iCs/>
        </w:rPr>
        <w:t xml:space="preserve">Geographical Analysis</w:t>
      </w:r>
      <w:r>
        <w:t xml:space="preserve"> </w:t>
      </w:r>
      <w:r>
        <w:t xml:space="preserve">27 (2): 93–115.</w:t>
      </w:r>
      <w:r>
        <w:t xml:space="preserve"> </w:t>
      </w:r>
      <w:hyperlink r:id="rId46">
        <w:r>
          <w:rPr>
            <w:rStyle w:val="Hyperlink"/>
          </w:rPr>
          <w:t xml:space="preserve">https://doi.org/10.1111/j.1538-4632.1995.tb00338.x</w:t>
        </w:r>
      </w:hyperlink>
      <w:r>
        <w:t xml:space="preserve">.</w:t>
      </w:r>
    </w:p>
    <w:bookmarkEnd w:id="47"/>
    <w:bookmarkStart w:id="48" w:name="ref-bivand2023"/>
    <w:p>
      <w:pPr>
        <w:pStyle w:val="Bibliography"/>
      </w:pPr>
      <w:r>
        <w:t xml:space="preserve">Bivand, R. S., E. Pebesma, and V. Gomez-Rubio. 2023.</w:t>
      </w:r>
      <w:r>
        <w:t xml:space="preserve"> </w:t>
      </w:r>
      <w:r>
        <w:t xml:space="preserve">“Applied Spatial Data Analysis with r, 3rd Edition: Spdep and Spatialreg Updates.”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.</w:t>
      </w:r>
    </w:p>
    <w:bookmarkEnd w:id="48"/>
    <w:bookmarkStart w:id="50" w:name="ref-fao2023"/>
    <w:p>
      <w:pPr>
        <w:pStyle w:val="Bibliography"/>
      </w:pPr>
      <w:r>
        <w:t xml:space="preserve">FAO, IFAD, UNICEF, WFP and WHO. 2023.</w:t>
      </w:r>
      <w:r>
        <w:t xml:space="preserve"> </w:t>
      </w:r>
      <w:r>
        <w:rPr>
          <w:i/>
          <w:iCs/>
        </w:rPr>
        <w:t xml:space="preserve">The State of Food Security and Nutrition in the World 2023: Urbanization, Agrifood Systems Transformation and Healthy Diets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https://www.fao.org/publications/sofi/2023</w:t>
        </w:r>
      </w:hyperlink>
      <w:r>
        <w:t xml:space="preserve">.</w:t>
      </w:r>
    </w:p>
    <w:bookmarkEnd w:id="50"/>
    <w:bookmarkStart w:id="52" w:name="ref-gadm2022"/>
    <w:p>
      <w:pPr>
        <w:pStyle w:val="Bibliography"/>
      </w:pPr>
      <w:r>
        <w:t xml:space="preserve">GADM. 2022.</w:t>
      </w:r>
      <w:r>
        <w:t xml:space="preserve"> </w:t>
      </w:r>
      <w:r>
        <w:rPr>
          <w:i/>
          <w:iCs/>
        </w:rPr>
        <w:t xml:space="preserve">Database of Global Administrative Areas V4.1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https://gadm.org</w:t>
        </w:r>
      </w:hyperlink>
      <w:r>
        <w:t xml:space="preserve">.</w:t>
      </w:r>
    </w:p>
    <w:bookmarkEnd w:id="52"/>
    <w:bookmarkStart w:id="54" w:name="ref-hijmans2023"/>
    <w:p>
      <w:pPr>
        <w:pStyle w:val="Bibliography"/>
      </w:pPr>
      <w:r>
        <w:t xml:space="preserve">Hijmans, R. J. 2023.</w:t>
      </w:r>
      <w:r>
        <w:t xml:space="preserve"> </w:t>
      </w:r>
      <w:r>
        <w:rPr>
          <w:i/>
          <w:iCs/>
        </w:rPr>
        <w:t xml:space="preserve">Terra 1.7: New Features for Large-Scale Suitability Mapping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https://CRAN.R-project.org/package=terra</w:t>
        </w:r>
      </w:hyperlink>
      <w:r>
        <w:t xml:space="preserve">.</w:t>
      </w:r>
    </w:p>
    <w:bookmarkEnd w:id="54"/>
    <w:bookmarkStart w:id="55" w:name="ref-moran1950"/>
    <w:p>
      <w:pPr>
        <w:pStyle w:val="Bibliography"/>
      </w:pPr>
      <w:r>
        <w:t xml:space="preserve">Moran, P. A. P. 1950.</w:t>
      </w:r>
      <w:r>
        <w:t xml:space="preserve"> </w:t>
      </w:r>
      <w:r>
        <w:t xml:space="preserve">“Notes on Continuous Stochastic Phenomena.”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37: 17–23.</w:t>
      </w:r>
    </w:p>
    <w:bookmarkEnd w:id="55"/>
    <w:bookmarkStart w:id="56" w:name="ref-muhammed2022"/>
    <w:p>
      <w:pPr>
        <w:pStyle w:val="Bibliography"/>
      </w:pPr>
      <w:r>
        <w:t xml:space="preserve">Muhammed, A. et al.</w:t>
      </w:r>
      <w:r>
        <w:t xml:space="preserve"> 2022.</w:t>
      </w:r>
      <w:r>
        <w:t xml:space="preserve"> </w:t>
      </w:r>
      <w:r>
        <w:t xml:space="preserve">“Fadama Farming and Household Food Security in Northern Nigeria.”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 </w:t>
      </w:r>
      <w:r>
        <w:t xml:space="preserve">205: 104832.</w:t>
      </w:r>
    </w:p>
    <w:bookmarkEnd w:id="56"/>
    <w:bookmarkStart w:id="57" w:name="ref-ogundele2023"/>
    <w:p>
      <w:pPr>
        <w:pStyle w:val="Bibliography"/>
      </w:pPr>
      <w:r>
        <w:t xml:space="preserve">Ogundele, F. et al.</w:t>
      </w:r>
      <w:r>
        <w:t xml:space="preserve"> 2023.</w:t>
      </w:r>
      <w:r>
        <w:t xml:space="preserve"> </w:t>
      </w:r>
      <w:r>
        <w:t xml:space="preserve">“Mapping Urban Agriculture in Lagos Using OpenStreetMap and Remote Sensing.”</w:t>
      </w:r>
      <w:r>
        <w:t xml:space="preserve"> </w:t>
      </w:r>
      <w:r>
        <w:rPr>
          <w:i/>
          <w:iCs/>
        </w:rPr>
        <w:t xml:space="preserve">African Geographical Review</w:t>
      </w:r>
      <w:r>
        <w:t xml:space="preserve"> </w:t>
      </w:r>
      <w:r>
        <w:t xml:space="preserve">42: 45–62.</w:t>
      </w:r>
    </w:p>
    <w:bookmarkEnd w:id="57"/>
    <w:bookmarkStart w:id="58" w:name="ref-olanrewaju2022"/>
    <w:p>
      <w:pPr>
        <w:pStyle w:val="Bibliography"/>
      </w:pPr>
      <w:r>
        <w:t xml:space="preserve">Olanrewaju, O. et al.</w:t>
      </w:r>
      <w:r>
        <w:t xml:space="preserve"> 2022.</w:t>
      </w:r>
      <w:r>
        <w:t xml:space="preserve"> </w:t>
      </w:r>
      <w:r>
        <w:t xml:space="preserve">“Circular Economy and Urban Agriculture: Compost Loops in Nigerian Cities.”</w:t>
      </w:r>
      <w:r>
        <w:t xml:space="preserve"> </w:t>
      </w:r>
      <w:r>
        <w:rPr>
          <w:i/>
          <w:iCs/>
        </w:rPr>
        <w:t xml:space="preserve">Resources, Conservation and Recycling</w:t>
      </w:r>
      <w:r>
        <w:t xml:space="preserve"> </w:t>
      </w:r>
      <w:r>
        <w:t xml:space="preserve">185: 106412.</w:t>
      </w:r>
    </w:p>
    <w:bookmarkEnd w:id="58"/>
    <w:bookmarkStart w:id="60" w:name="ref-openstreetmap2024"/>
    <w:p>
      <w:pPr>
        <w:pStyle w:val="Bibliography"/>
      </w:pPr>
      <w:r>
        <w:t xml:space="preserve">OpenStreetMap contributors. 2024.</w:t>
      </w:r>
      <w:r>
        <w:t xml:space="preserve"> </w:t>
      </w:r>
      <w:r>
        <w:rPr>
          <w:i/>
          <w:iCs/>
        </w:rPr>
        <w:t xml:space="preserve">OpenStreetMap and Overpass API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https://www.openstreetmap.org and https://overpass-api.de</w:t>
        </w:r>
      </w:hyperlink>
      <w:r>
        <w:t xml:space="preserve">.</w:t>
      </w:r>
    </w:p>
    <w:bookmarkEnd w:id="60"/>
    <w:bookmarkStart w:id="61" w:name="ref-orhevba2024"/>
    <w:p>
      <w:pPr>
        <w:pStyle w:val="Bibliography"/>
      </w:pPr>
      <w:r>
        <w:t xml:space="preserve">Orhevba, A. et al.</w:t>
      </w:r>
      <w:r>
        <w:t xml:space="preserve"> 2024.</w:t>
      </w:r>
      <w:r>
        <w:t xml:space="preserve"> </w:t>
      </w:r>
      <w:r>
        <w:t xml:space="preserve">“Urban Agriculture and Food Security in Nigeria: A Review.”</w:t>
      </w:r>
      <w:r>
        <w:t xml:space="preserve"> </w:t>
      </w:r>
      <w:r>
        <w:rPr>
          <w:i/>
          <w:iCs/>
        </w:rPr>
        <w:t xml:space="preserve">Nigerian Journal of Agriculture</w:t>
      </w:r>
      <w:r>
        <w:t xml:space="preserve">.</w:t>
      </w:r>
    </w:p>
    <w:bookmarkEnd w:id="61"/>
    <w:bookmarkStart w:id="62" w:name="ref-pebesma2023"/>
    <w:p>
      <w:pPr>
        <w:pStyle w:val="Bibliography"/>
      </w:pPr>
      <w:r>
        <w:t xml:space="preserve">Pebesma, E., and R. Bivand. 2023.</w:t>
      </w:r>
      <w:r>
        <w:t xml:space="preserve"> </w:t>
      </w:r>
      <w:r>
        <w:t xml:space="preserve">“Spatial Data Science with r: Simple Features and Stars Update 2023.”</w:t>
      </w:r>
      <w:r>
        <w:t xml:space="preserve"> </w:t>
      </w:r>
      <w:r>
        <w:rPr>
          <w:i/>
          <w:iCs/>
        </w:rPr>
        <w:t xml:space="preserve">Journal of Geographical Systems</w:t>
      </w:r>
      <w:r>
        <w:t xml:space="preserve">.</w:t>
      </w:r>
    </w:p>
    <w:bookmarkEnd w:id="62"/>
    <w:bookmarkStart w:id="63" w:name="ref-stackhouse2023"/>
    <w:p>
      <w:pPr>
        <w:pStyle w:val="Bibliography"/>
      </w:pPr>
      <w:r>
        <w:t xml:space="preserve">Stackhouse, P. W. et al.</w:t>
      </w:r>
      <w:r>
        <w:t xml:space="preserve"> 2023.</w:t>
      </w:r>
      <w:r>
        <w:t xml:space="preserve"> </w:t>
      </w:r>
      <w:r>
        <w:t xml:space="preserve">“NASA POWER Agroclimatology Validation for West Africa.”</w:t>
      </w:r>
      <w:r>
        <w:t xml:space="preserve"> </w:t>
      </w:r>
      <w:r>
        <w:rPr>
          <w:i/>
          <w:iCs/>
        </w:rPr>
        <w:t xml:space="preserve">Renewable Energy and Environmental Sustainability</w:t>
      </w:r>
      <w:r>
        <w:t xml:space="preserve"> </w:t>
      </w:r>
      <w:r>
        <w:t xml:space="preserve">8: 12.</w:t>
      </w:r>
    </w:p>
    <w:bookmarkEnd w:id="63"/>
    <w:bookmarkStart w:id="64" w:name="ref-udoh2022"/>
    <w:p>
      <w:pPr>
        <w:pStyle w:val="Bibliography"/>
      </w:pPr>
      <w:r>
        <w:t xml:space="preserve">Udoh, E. et al.</w:t>
      </w:r>
      <w:r>
        <w:t xml:space="preserve"> 2022.</w:t>
      </w:r>
      <w:r>
        <w:t xml:space="preserve"> </w:t>
      </w:r>
      <w:r>
        <w:t xml:space="preserve">“Urban Farming and Household Food Security in Nigerian Cities.”</w:t>
      </w:r>
      <w:r>
        <w:t xml:space="preserve"> </w:t>
      </w:r>
      <w:r>
        <w:rPr>
          <w:i/>
          <w:iCs/>
        </w:rPr>
        <w:t xml:space="preserve">Food Security</w:t>
      </w:r>
      <w:r>
        <w:t xml:space="preserve">.</w:t>
      </w:r>
    </w:p>
    <w:bookmarkEnd w:id="64"/>
    <w:bookmarkStart w:id="66" w:name="ref-worldbank2024"/>
    <w:p>
      <w:pPr>
        <w:pStyle w:val="Bibliography"/>
      </w:pPr>
      <w:r>
        <w:t xml:space="preserve">World Bank. 2024.</w:t>
      </w:r>
      <w:r>
        <w:t xml:space="preserve"> </w:t>
      </w:r>
      <w:r>
        <w:rPr>
          <w:i/>
          <w:iCs/>
        </w:rPr>
        <w:t xml:space="preserve">World Development Indicators: Urban Population, Food Production Index, Prevalence of Undernourishment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https://api.worldbank.org/v2/country/NG/indicator/SP.URB.TOTL;AG.PRD.FOOD.XD;SN.ITK.DEFC.ZS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bidi="ar-SA" w:eastAsia="zh-CN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sz w:val="24"/>
      <w:szCs w:val="24"/>
    </w:rPr>
    <w:pPr>
      <w:spacing w:after="0" w:line="360" w:lineRule="auto"/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line="240" w:lineRule="auto"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line="240" w:lineRule="auto"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spacing w:line="240" w:lineRule="auto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53" Target="https://CRAN.R-project.org/package=terra" TargetMode="External" /><Relationship Type="http://schemas.openxmlformats.org/officeDocument/2006/relationships/hyperlink" Id="rId65" Target="https://api.worldbank.org/v2/country/NG/indicator/SP.URB.TOTL;AG.PRD.FOOD.XD;SN.ITK.DEFC.ZS" TargetMode="External" /><Relationship Type="http://schemas.openxmlformats.org/officeDocument/2006/relationships/hyperlink" Id="rId46" Target="https://doi.org/10.1111/j.1538-4632.1995.tb00338.x" TargetMode="External" /><Relationship Type="http://schemas.openxmlformats.org/officeDocument/2006/relationships/hyperlink" Id="rId51" Target="https://gadm.org" TargetMode="External" /><Relationship Type="http://schemas.openxmlformats.org/officeDocument/2006/relationships/hyperlink" Id="rId49" Target="https://www.fao.org/publications/sofi/2023" TargetMode="External" /><Relationship Type="http://schemas.openxmlformats.org/officeDocument/2006/relationships/hyperlink" Id="rId59" Target="https://www.openstreetmap.org and https://overpass-api.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CRAN.R-project.org/package=terra" TargetMode="External" /><Relationship Type="http://schemas.openxmlformats.org/officeDocument/2006/relationships/hyperlink" Id="rId65" Target="https://api.worldbank.org/v2/country/NG/indicator/SP.URB.TOTL;AG.PRD.FOOD.XD;SN.ITK.DEFC.ZS" TargetMode="External" /><Relationship Type="http://schemas.openxmlformats.org/officeDocument/2006/relationships/hyperlink" Id="rId46" Target="https://doi.org/10.1111/j.1538-4632.1995.tb00338.x" TargetMode="External" /><Relationship Type="http://schemas.openxmlformats.org/officeDocument/2006/relationships/hyperlink" Id="rId51" Target="https://gadm.org" TargetMode="External" /><Relationship Type="http://schemas.openxmlformats.org/officeDocument/2006/relationships/hyperlink" Id="rId49" Target="https://www.fao.org/publications/sofi/2023" TargetMode="External" /><Relationship Type="http://schemas.openxmlformats.org/officeDocument/2006/relationships/hyperlink" Id="rId59" Target="https://www.openstreetmap.org and https://overpass-api.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 Agriculture and Urban Food Security in Nigeria: A Spatial Statistics Perspective</dc:title>
  <dc:creator>Yohanna — batestguy (presenting author)</dc:creator>
  <cp:keywords>urban agriculture, urban food security, Moran’s I, LISA, climate-smart agriculture, Nigeria</cp:keywords>
  <dcterms:created xsi:type="dcterms:W3CDTF">2026-08-26T04:02:41Z</dcterms:created>
  <dcterms:modified xsi:type="dcterms:W3CDTF">2026-08-26T04:02:41Z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date">
    <vt:lpwstr>26 August 2026</vt:lpwstr>
  </property>
  <property fmtid="{D5CDD505-2E9C-101B-9397-08002B2CF9AE}" pid="8" name="date-format">
    <vt:lpwstr>D MMMM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Federal Polytechnic Kaltungo — 2nd Annual National Multidisciplinary Conference 2026 (Sub-theme 6: Climate-Smart Agriculture, Food Security and Rural Transformation; Secondary: 10 GIS &amp; Urban Planning, 13 Circular Economy &amp; Environmental Sustainability)</vt:lpwstr>
  </property>
  <property fmtid="{D5CDD505-2E9C-101B-9397-08002B2CF9AE}" pid="15" name="toc-title">
    <vt:lpwstr>Table of contents</vt:lpwstr>
  </property>
</Properties>
</file>