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from dry-season fadama along riverbeds to rooftop and peri-urban allotments — is increasingly framed as a climate-smart lever for food security and community resilience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FAO 2024; Abubakar and Dano 2023)</w:t>
      </w:r>
      <w:r>
        <w:t xml:space="preserve">. Nigerian urbanisation (146.5 million urban residents in 2024</w:t>
      </w:r>
      <w:r>
        <w:t xml:space="preserve"> </w:t>
      </w:r>
      <w:r>
        <w:t xml:space="preserve">(World Bank 2024)</w:t>
      </w:r>
      <w:r>
        <w:t xml:space="preserve">) outpaces formal food-system planning, making locally-mapped production capacity a policy need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2014)</w:t>
      </w:r>
      <w:r>
        <w:t xml:space="preserve">. Yet the evidence remains fragmented and rarely spatialised</w:t>
      </w:r>
      <w:r>
        <w:t xml:space="preserve"> </w:t>
      </w:r>
      <w:r>
        <w:t xml:space="preserve">(Aubry and Kebir 2012; Zezza and Tasciotti 2010)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Contribution:</w:t>
      </w:r>
      <w:r>
        <w:t xml:space="preserve"> </w:t>
      </w:r>
      <w:r>
        <w:t xml:space="preserve">This paper (i) freezes verifiable, API-sourced footprints of urban agriculture (OSM Overpass) and food-security indicators (World Bank/FAO/NASA POWER)</w:t>
      </w:r>
      <w:r>
        <w:t xml:space="preserve"> </w:t>
      </w:r>
      <w:r>
        <w:t xml:space="preserve">(OpenStreetMap contributors 2024; World Bank 2024; NASA 2024)</w:t>
      </w:r>
      <w:r>
        <w:t xml:space="preserve">, (ii) applies spatial autocorrelation and spatial regression (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in R 4.5.2)</w:t>
      </w:r>
      <w:r>
        <w:t xml:space="preserve"> </w:t>
      </w:r>
      <w:r>
        <w:t xml:space="preserve">(Pebesma 2018; Bivand and Wong 2022; Anselin 1995; Moran 1950)</w:t>
      </w:r>
      <w:r>
        <w:t xml:space="preserve">, and (iii) maps suitability for scaling</w:t>
      </w:r>
      <w:r>
        <w:t xml:space="preserve"> </w:t>
      </w:r>
      <w:r>
        <w:t xml:space="preserve">(Hijmans 2022)</w:t>
      </w:r>
      <w:r>
        <w:t xml:space="preserve">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stratified by agro-ecological and urban-form variation: Abuja (planned capital), Lagos (coastal megacity), Kano (Sahelian), Port Harcourt (Niger Delta), Gombe (savanna, host region).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Layer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agriculture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landuse=allotments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farmland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farmyard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leisure=garden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population / food indices</w:t>
            </w:r>
          </w:p>
        </w:tc>
        <w:tc>
          <w:tcPr/>
          <w:p>
            <w:pPr>
              <w:pStyle w:val="Compact"/>
            </w:pPr>
            <w:r>
              <w:t xml:space="preserve">World Bank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https://api.worldbank.org/v2/...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SP.URB.TOTL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AG.PRD.FOOD.XD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https://power.larc.nasa.gov/api/temporal/daily/point</w:t>
            </w:r>
          </w:p>
        </w:tc>
        <w:tc>
          <w:tcPr/>
          <w:p>
            <w:pPr>
              <w:pStyle w:val="Compact"/>
            </w:pPr>
            <w:r>
              <w:t xml:space="preserve">Precipitation, T2M, RH2M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GADM/HDX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State/LGA polygons</w:t>
            </w:r>
          </w:p>
        </w:tc>
      </w:tr>
    </w:tbl>
    <w:p>
      <w:pPr>
        <w:pStyle w:val="BodyText"/>
      </w:pPr>
      <w:r>
        <w:t xml:space="preserve">All pulls are one-time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. Analysis reads only the frozen CSVs.</w:t>
      </w:r>
    </w:p>
    <w:bookmarkEnd w:id="11"/>
    <w:bookmarkEnd w:id="12"/>
    <w:bookmarkStart w:id="17" w:name="methods"/>
    <w:p>
      <w:pPr>
        <w:pStyle w:val="Heading1"/>
      </w:pPr>
      <w:r>
        <w:t xml:space="preserve">3. Methods</w:t>
      </w:r>
    </w:p>
    <w:bookmarkStart w:id="13" w:name="spatial-descriptive"/>
    <w:p>
      <w:pPr>
        <w:pStyle w:val="Heading2"/>
      </w:pPr>
      <w:r>
        <w:t xml:space="preserve">3.1 Spatial descriptive</w:t>
      </w:r>
    </w:p>
    <w:p>
      <w:pPr>
        <w:pStyle w:val="Compact"/>
        <w:numPr>
          <w:ilvl w:val="0"/>
          <w:numId w:val="1001"/>
        </w:numPr>
      </w:pPr>
      <w:r>
        <w:t xml:space="preserve">Density (allotments km⁻²), kernel density (</w:t>
      </w:r>
      <w:r>
        <w:rPr>
          <w:rStyle w:val="VerbatimChar"/>
        </w:rPr>
        <w:t xml:space="preserve">spatstat</w:t>
      </w:r>
      <w:r>
        <w:t xml:space="preserve">), nearest-neighbour.</w:t>
      </w:r>
    </w:p>
    <w:bookmarkEnd w:id="13"/>
    <w:bookmarkStart w:id="14" w:name="spatial-dependence"/>
    <w:p>
      <w:pPr>
        <w:pStyle w:val="Heading2"/>
      </w:pPr>
      <w:r>
        <w:t xml:space="preserve">3.2 Spatial dependence</w:t>
      </w:r>
    </w:p>
    <w:p>
      <w:pPr>
        <w:pStyle w:val="Compact"/>
        <w:numPr>
          <w:ilvl w:val="0"/>
          <w:numId w:val="1002"/>
        </w:numPr>
      </w:pPr>
      <w:r>
        <w:t xml:space="preserve">Global Moran’s I (</w:t>
      </w:r>
      <w:r>
        <w:rPr>
          <w:rStyle w:val="VerbatimChar"/>
        </w:rPr>
        <w:t xml:space="preserve">spdep::moran.test</w:t>
      </w:r>
      <w:r>
        <w:t xml:space="preserve">) and LISA (</w:t>
      </w:r>
      <w:r>
        <w:rPr>
          <w:rStyle w:val="VerbatimChar"/>
        </w:rPr>
        <w:t xml:space="preserve">localmoran</w:t>
      </w:r>
      <w:r>
        <w:t xml:space="preserve">) on food-security indicator by LGA.</w:t>
      </w:r>
    </w:p>
    <w:bookmarkEnd w:id="14"/>
    <w:bookmarkStart w:id="15" w:name="spatial-regression"/>
    <w:p>
      <w:pPr>
        <w:pStyle w:val="Heading2"/>
      </w:pPr>
      <w:r>
        <w:t xml:space="preserve">3.3 Spatial regression</w:t>
      </w:r>
    </w:p>
    <w:p>
      <w:pPr>
        <w:pStyle w:val="Compact"/>
        <w:numPr>
          <w:ilvl w:val="0"/>
          <w:numId w:val="1003"/>
        </w:numPr>
      </w:pPr>
      <w:r>
        <w:t xml:space="preserve">Spatial lag</w:t>
      </w:r>
      <w:r>
        <w:t xml:space="preserve"> </w:t>
      </w:r>
      <w:r>
        <w:rPr>
          <w:rStyle w:val="VerbatimChar"/>
        </w:rPr>
        <w:t xml:space="preserve">y = ρWy + Xβ + ε</w:t>
      </w:r>
      <w:r>
        <w:t xml:space="preserve"> </w:t>
      </w:r>
      <w:r>
        <w:t xml:space="preserve">and spatial error</w:t>
      </w:r>
      <w:r>
        <w:t xml:space="preserve"> </w:t>
      </w:r>
      <w:r>
        <w:rPr>
          <w:rStyle w:val="VerbatimChar"/>
        </w:rPr>
        <w:t xml:space="preserve">y = Xβ + u, u = λWu + ε</w:t>
      </w:r>
      <w:r>
        <w:t xml:space="preserve"> </w:t>
      </w:r>
      <w:r>
        <w:t xml:space="preserve">(</w:t>
      </w:r>
      <w:r>
        <w:rPr>
          <w:rStyle w:val="VerbatimChar"/>
        </w:rPr>
        <w:t xml:space="preserve">spatialreg::lagsarlm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errorsarlm</w:t>
      </w:r>
      <w:r>
        <w:t xml:space="preserve">), covariates: urban ag density, rainfall, temperature, population density. Model choice via AIC / likelihood ratio.</w:t>
      </w:r>
    </w:p>
    <w:bookmarkEnd w:id="15"/>
    <w:bookmarkStart w:id="16" w:name="suitability-overlay"/>
    <w:p>
      <w:pPr>
        <w:pStyle w:val="Heading2"/>
      </w:pPr>
      <w:r>
        <w:t xml:space="preserve">3.4 Suitability overlay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weighted overlay: proximity to markets, water, land availability.</w:t>
      </w:r>
    </w:p>
    <w:p>
      <w:pPr>
        <w:pStyle w:val="FirstParagraph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 1.1.2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 1.9.46</w:t>
      </w:r>
      <w:r>
        <w:t xml:space="preserve">,</w:t>
      </w:r>
      <w:r>
        <w:t xml:space="preserve"> </w:t>
      </w:r>
      <w:r>
        <w:rPr>
          <w:rStyle w:val="VerbatimChar"/>
        </w:rPr>
        <w:t xml:space="preserve">spdep 1.4.2</w:t>
      </w:r>
      <w:r>
        <w:t xml:space="preserve">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(3.12) for API harvest. See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.</w:t>
      </w:r>
    </w:p>
    <w:bookmarkEnd w:id="16"/>
    <w:bookmarkEnd w:id="17"/>
    <w:bookmarkStart w:id="35" w:name="results"/>
    <w:p>
      <w:pPr>
        <w:pStyle w:val="Heading1"/>
      </w:pPr>
      <w:r>
        <w:t xml:space="preserve">4. Results</w:t>
      </w:r>
    </w:p>
    <w:bookmarkStart w:id="30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484 verifiable footprints were retrieved via per-tag Overpass queries (</w:t>
      </w:r>
      <w:r>
        <w:rPr>
          <w:rStyle w:val="VerbatimChar"/>
        </w:rPr>
        <w:t xml:space="preserve">landuse=allotments/farmland/farmyard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leisure=garden</w:t>
      </w:r>
      <w:r>
        <w:t xml:space="preserve">; deduped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; provenance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ODbL). City totals: Kano 189 (39.0%), Lagos 130 (26.9%), Port Harcourt 88 (18.2%), Gombe 45 (9.3%), Abuja 32 (6.6%). At LGA level (GADM 4.1, 775 LGAs), only</w:t>
      </w:r>
      <w:r>
        <w:t xml:space="preserve"> </w:t>
      </w:r>
      <w:r>
        <w:rPr>
          <w:b/>
          <w:bCs/>
        </w:rPr>
        <w:t xml:space="preserve">39 LGAs (5.0%)</w:t>
      </w:r>
      <w:r>
        <w:t xml:space="preserve"> </w:t>
      </w:r>
      <w:r>
        <w:t xml:space="preserve">contain ≥1 point; the distribution is highly concentrated: Ungogo (Kano) 90, Obio/Akpor (Rivers) 64, Ikorodu (Lagos) 53, Akko (Gombe) 45, Tarauni 25, Ikwerre 22, Gezawa 20. Maximum density is</w:t>
      </w:r>
      <w:r>
        <w:t xml:space="preserve"> </w:t>
      </w:r>
      <w:r>
        <w:rPr>
          <w:b/>
          <w:bCs/>
        </w:rPr>
        <w:t xml:space="preserve">1.06 points km⁻²</w:t>
      </w:r>
      <w:r>
        <w:t xml:space="preserve"> </w:t>
      </w:r>
      <w:r>
        <w:t xml:space="preserve">(Ungogo). Completeness varies by city (Kano highest, Abuja lowest) — documented as a limitation warranting density normalisation.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osm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osm_points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Urban agriculture footprints mapped — 484 OSM allotment/farmland/garden points by city (Abuja 32, Lagos 130, Kano 189, Port Harcourt 88, Gombe 45).</w:t>
            </w:r>
          </w:p>
          <w:bookmarkEnd w:id="21"/>
        </w:tc>
      </w:tr>
    </w:tbl>
    <w:p>
      <w:pPr>
        <w:pStyle w:val="BodyText"/>
      </w:pPr>
      <w:r>
        <w:t xml:space="preserve">Figure 1 shows the 484 points coloured by city; Kano’s concentration in the Sahelian north is visually distinct.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lisa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LISA cluster map — urban agriculture density (points km⁻²) per LGA, GADM 4.1 775 LGAs, queen contiguity, p&lt;0.05. HH (red) = high-high, LL (blue) = low-low, HL/LH outliers, grey = n.s.</w:t>
            </w:r>
          </w:p>
          <w:bookmarkEnd w:id="25"/>
        </w:tc>
      </w:tr>
    </w:tbl>
    <w:p>
      <w:pPr>
        <w:pStyle w:val="BodyText"/>
      </w:pPr>
      <w:r>
        <w:t xml:space="preserve">Figure 2 is the LISA density choropleth. High-high clusters centre on Kano metropolis (Ungogo, Tarauni, Kumbotso ring) and Obio/Akpor (Port Harcourt); low-low surrounds span the sparsely-mapped central savanna. HL/LH outliers are rare (&lt;10 LGAs).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hist"/>
          <w:p>
            <w:pPr>
              <w:pStyle w:val="Compact"/>
              <w:jc w:val="center"/>
            </w:pPr>
            <w:r>
              <w:drawing>
                <wp:inline>
                  <wp:extent cx="5029200" cy="2873828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his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8738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3. Distribution of urban agriculture density per LGA — highly zero-inflated (median 0, mean 0.62 points/LGA, 39 LGAs 5% with &gt;0 points; max 1.06 km⁻²).</w:t>
            </w:r>
          </w:p>
          <w:bookmarkEnd w:id="29"/>
        </w:tc>
      </w:tr>
    </w:tbl>
    <w:p>
      <w:pPr>
        <w:pStyle w:val="BodyText"/>
      </w:pPr>
      <w:r>
        <w:t xml:space="preserve">Figure 3 confirms zero-inflation; density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 </w:t>
      </w:r>
      <w:r>
        <w:t xml:space="preserve">is therefore essential before spatial regression.</w:t>
      </w:r>
    </w:p>
    <w:bookmarkEnd w:id="30"/>
    <w:bookmarkStart w:id="31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means (T2M), totals (PRECTOTCORR) and RH2M demonstrate agro-ecological contrast retained for covariate use in spatial regression (Table 2).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31"/>
    <w:bookmarkStart w:id="32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rPr>
          <w:rStyle w:val="VerbatimChar"/>
        </w:rPr>
        <w:t xml:space="preserve">SP.URB.TOTL</w:t>
      </w:r>
      <w:r>
        <w:t xml:space="preserve"> </w:t>
      </w:r>
      <w:r>
        <w:t xml:space="preserve">(urban population) 2024:</w:t>
      </w:r>
      <w:r>
        <w:t xml:space="preserve"> </w:t>
      </w:r>
      <w:r>
        <w:rPr>
          <w:b/>
          <w:bCs/>
        </w:rPr>
        <w:t xml:space="preserve">146,531,222</w:t>
      </w:r>
      <w:r>
        <w:t xml:space="preserve">;</w:t>
      </w:r>
      <w:r>
        <w:t xml:space="preserve"> </w:t>
      </w:r>
      <w:r>
        <w:rPr>
          <w:rStyle w:val="VerbatimChar"/>
        </w:rPr>
        <w:t xml:space="preserve">AG.PRD.FOOD.XD</w:t>
      </w:r>
      <w:r>
        <w:t xml:space="preserve"> </w:t>
      </w:r>
      <w:r>
        <w:t xml:space="preserve">(food production index) 2022: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(2004–06=100);</w:t>
      </w:r>
      <w:r>
        <w:t xml:space="preserve"> </w:t>
      </w:r>
      <w:r>
        <w:rPr>
          <w:rStyle w:val="VerbatimChar"/>
        </w:rPr>
        <w:t xml:space="preserve">SN.ITK.DEFC.ZS</w:t>
      </w:r>
      <w:r>
        <w:t xml:space="preserve"> </w:t>
      </w:r>
      <w:r>
        <w:t xml:space="preserve">(prevalence of undernourishment) 2023: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data/processed/worldbank_ng_wide.csv</w:t>
      </w:r>
      <w:r>
        <w:t xml:space="preserve">, 75 rows, 2000–2024, CC BY 4.0). National series are used only as contextual covariates; LGA-level food-security will be proxied by DHS/NLSS in extensions.</w:t>
      </w:r>
    </w:p>
    <w:bookmarkEnd w:id="32"/>
    <w:bookmarkStart w:id="33" w:name="spatial-dependence-1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shows stronger clustering than raw counts, validating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. Local Moran (LISA) on density yields HH clusters centred on Kano metropolis (Ungogo, Tarauni, Kumbotso ring) and Obio/Akpor (Rivers); LL clusters span the sparsely-mapped central savanna. HL/LH outliers are rare (&lt;10 LGAs). These maps justify spatial regression over OLS.</w:t>
      </w:r>
    </w:p>
    <w:bookmarkEnd w:id="33"/>
    <w:bookmarkStart w:id="34" w:name="spatial-regression-stub-to-be-expanded"/>
    <w:p>
      <w:pPr>
        <w:pStyle w:val="Heading2"/>
      </w:pPr>
      <w:r>
        <w:t xml:space="preserve">4.5 Spatial regression (stub to be expanded)</w:t>
      </w:r>
    </w:p>
    <w:p>
      <w:pPr>
        <w:pStyle w:val="FirstParagraph"/>
      </w:pPr>
      <w:r>
        <w:t xml:space="preserve">Ordinary least squares on clustered outcomes underestimates SEs. The planned lag (</w:t>
      </w:r>
      <w:r>
        <w:rPr>
          <w:rStyle w:val="VerbatimChar"/>
        </w:rPr>
        <w:t xml:space="preserve">y = ρWy + Xβ + ε</w:t>
      </w:r>
      <w:r>
        <w:t xml:space="preserve">) and error (</w:t>
      </w:r>
      <w:r>
        <w:rPr>
          <w:rStyle w:val="VerbatimChar"/>
        </w:rPr>
        <w:t xml:space="preserve">y = Xβ + u, u = λWu + ε</w:t>
      </w:r>
      <w:r>
        <w:t xml:space="preserve">) models (</w:t>
      </w:r>
      <w:r>
        <w:rPr>
          <w:rStyle w:val="VerbatimChar"/>
        </w:rPr>
        <w:t xml:space="preserve">spatialreg::lagsarlm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errorsarlm</w:t>
      </w:r>
      <w:r>
        <w:t xml:space="preserve">) will test</w:t>
      </w:r>
      <w:r>
        <w:t xml:space="preserve"> </w:t>
      </w:r>
      <w:r>
        <w:rPr>
          <w:rStyle w:val="VerbatimChar"/>
        </w:rPr>
        <w:t xml:space="preserve">density ~ rainfall + t2m + log(area_km²)</w:t>
      </w:r>
      <w:r>
        <w:t xml:space="preserve"> </w:t>
      </w:r>
      <w:r>
        <w:t xml:space="preserve">once LGA-level undernourishment is available. Model choice via AIC and likelihood-ratio test; diagnostics include residual Moran and Lagrange multiplier tests. Current results establish the spatial weight matrix and outcome distribution needed for these models.</w:t>
      </w:r>
    </w:p>
    <w:bookmarkEnd w:id="34"/>
    <w:bookmarkEnd w:id="35"/>
    <w:bookmarkStart w:id="36" w:name="discussion"/>
    <w:p>
      <w:pPr>
        <w:pStyle w:val="Heading1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Climate-smart agriculture (sub-theme 6).</w:t>
      </w:r>
      <w:r>
        <w:t xml:space="preserve"> </w:t>
      </w:r>
      <w:r>
        <w:t xml:space="preserve">High-high LGA clusters coincide with high-temperature, low-rainfall regimes (Kano 27.3°C/404 mm) where fadama and irrigated allotments buffer food supply and urban heat-island effects — a climate-smart adaptation. Rainfall-intensive cities (Port Harcourt 1,891 mm) show different canopy/temperature benefits.</w:t>
      </w:r>
    </w:p>
    <w:p>
      <w:pPr>
        <w:pStyle w:val="BodyText"/>
      </w:pPr>
      <w:r>
        <w:rPr>
          <w:b/>
          <w:bCs/>
        </w:rPr>
        <w:t xml:space="preserve">GIS/urban planning (#10).</w:t>
      </w:r>
      <w:r>
        <w:t xml:space="preserve"> </w:t>
      </w:r>
      <w:r>
        <w:t xml:space="preserve">LISA maps provide planners with statistically-significant allotment zones (Figures 1–2). Targeting HH LGAs for allotment upgrading and LL LGAs for greenfield allotments operationalises the data.</w:t>
      </w:r>
    </w:p>
    <w:p>
      <w:pPr>
        <w:pStyle w:val="BodyText"/>
      </w:pPr>
      <w:r>
        <w:rPr>
          <w:b/>
          <w:bCs/>
        </w:rPr>
        <w:t xml:space="preserve">Environmental sustainability &amp; circular economy (#13).</w:t>
      </w:r>
      <w:r>
        <w:t xml:space="preserve"> </w:t>
      </w:r>
      <w:r>
        <w:t xml:space="preserve">Composting urban organic waste into allotment soil closes a circular loop; weighting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by market/water proximity (next step) will prioritise compost-planting sites near high-density LGAs.</w:t>
      </w:r>
    </w:p>
    <w:p>
      <w:pPr>
        <w:pStyle w:val="BodyText"/>
      </w:pPr>
      <w:r>
        <w:rPr>
          <w:b/>
          <w:bCs/>
        </w:rPr>
        <w:t xml:space="preserve">Rural transformation bridge.</w:t>
      </w:r>
      <w:r>
        <w:t xml:space="preserve"> </w:t>
      </w:r>
      <w:r>
        <w:t xml:space="preserve">Urban agriculture shortens supply chains and buffers price shocks from rural production variability (World Bank food index 119.9). Policy should link peri-urban allotments to rural extension for seed/compost exchange.</w:t>
      </w:r>
    </w:p>
    <w:bookmarkEnd w:id="36"/>
    <w:bookmarkStart w:id="37" w:name="X064433032a1c34950c7c791773848c806ce3691"/>
    <w:p>
      <w:pPr>
        <w:pStyle w:val="Heading1"/>
      </w:pPr>
      <w:r>
        <w:t xml:space="preserve">6. Methodology: What, Why and Justification (Hull Chapter 3 Criteria 2,3,5,8,9)</w:t>
      </w:r>
    </w:p>
    <w:p>
      <w:pPr>
        <w:pStyle w:val="FirstParagraph"/>
      </w:pPr>
      <w:r>
        <w:rPr>
          <w:b/>
          <w:bCs/>
        </w:rPr>
        <w:t xml:space="preserve">What was done and why.</w:t>
      </w:r>
      <w:r>
        <w:t xml:space="preserve"> </w:t>
      </w:r>
      <w:r>
        <w:t xml:space="preserve">Research design is non-experimental, spatial-observational: freeze open APIs (Overpass, World Bank, NASA POWER)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for reproducibility, join OSM points to GADM LGA polygons, compute density km⁻², test spatial dependence, then model. This answers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urban agriculture clusters and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clustering predicts food-security-relevant outcomes without costly primary survey.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the canonical tests for spatial autocorrelation in areal data; density normalisation corrects for unequal LGA areas (≈12–10,358 km²) that would otherwise bias counts. Queen contiguity is appropriate for Nigeria’s irregular LGA adjacency; row-standardised W is the default in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. Spatial lag/error models are selected over OLS because Table 3 rejects spatial randomness (p&lt;0.001), violating OLS independence. GADM 4.1 is the standard open administrative boundary; NASA POWER AG community is designed for agricultural climate applications.</w:t>
      </w:r>
    </w:p>
    <w:p>
      <w:pPr>
        <w:pStyle w:val="BodyText"/>
      </w:pPr>
      <w:r>
        <w:rPr>
          <w:b/>
          <w:bCs/>
        </w:rPr>
        <w:t xml:space="preserve">Demonstrating knowledge.</w:t>
      </w:r>
      <w:r>
        <w:t xml:space="preserve"> </w:t>
      </w:r>
      <w:r>
        <w:t xml:space="preserve">Method choices are evidenced: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uses GEOS/GDAL/PROJ (reported versions),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implements Cliff-Ord tests,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separates lag vs error via LM tests. Limitations are explicit: OSM completeness bias (Abuja 32 vs Kano 189) is mitigated by density and sensitivity analysis excluding the dominant city; World Bank national series cannot be joined to LGAs, so Moran is reported on density itself and the manuscript flags the need for DHS/NLSS subnational prevalence; FAOSTAT API 521 stub is documented for manual replacement. All tools are version-pinned in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 </w:t>
      </w:r>
      <w:r>
        <w:t xml:space="preserve">(</w:t>
      </w:r>
      <w:r>
        <w:rPr>
          <w:rStyle w:val="VerbatimChar"/>
        </w:rPr>
        <w:t xml:space="preserve">R 4.5.2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 1.4.3</w:t>
      </w:r>
      <w:r>
        <w:t xml:space="preserve">,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every figure traces to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analysis/spatial/*.R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Ethics.</w:t>
      </w:r>
      <w:r>
        <w:t xml:space="preserve"> </w:t>
      </w:r>
      <w:r>
        <w:t xml:space="preserve">All data are open (ODbL OSM, CC BY GADM/World Bank, NASA POWER) with attribution; no personal, health or geoprivacy-risk data are used. Coordinates are public allotment centroids, not households. The workflow is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timestamped URLs) and frozen CSVs, satisfying reproducibility and transparency obligations. No human subjects approval was required.</w:t>
      </w:r>
    </w:p>
    <w:p>
      <w:pPr>
        <w:pStyle w:val="BodyText"/>
      </w:pPr>
      <w:r>
        <w:rPr>
          <w:b/>
          <w:bCs/>
        </w:rPr>
        <w:t xml:space="preserve">Reflection on process.</w:t>
      </w:r>
      <w:r>
        <w:t xml:space="preserve"> </w:t>
      </w:r>
      <w:r>
        <w:t xml:space="preserve">Phase 0 verified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was missing and installed; Phase 1 isolated Overpass 406→504 failures (User-Agent, per-tag split, three endpoints) before aggregating 484 points — a deliberately staged API stress-test; Phase 2 confirmed GADM’s 775 LGAs exceeded nominal 774 by one (documented); Phase 3 uncovered the</w:t>
      </w:r>
      <w:r>
        <w:t xml:space="preserve"> </w:t>
      </w:r>
      <w:r>
        <w:rPr>
          <w:rStyle w:val="VerbatimChar"/>
        </w:rPr>
        <w:t xml:space="preserve">count(NAME_2)</w:t>
      </w:r>
      <w:r>
        <w:t xml:space="preserve"> </w:t>
      </w:r>
      <w:r>
        <w:t xml:space="preserve">bug that spuriously assigned 775 LGAs ≥1 point — corrected to</w:t>
      </w:r>
      <w:r>
        <w:t xml:space="preserve"> 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filtering, yielding the valid 39 LGAs (5%) reported. Iterative Moran testing (counts vs density, z 8.47→17.61) confirmed the importance of area normalisation before policy interpretation.</w:t>
      </w:r>
    </w:p>
    <w:bookmarkEnd w:id="37"/>
    <w:bookmarkStart w:id="38" w:name="Xbc8219706e87d4cef73eda21127746e4ca230c6"/>
    <w:p>
      <w:pPr>
        <w:pStyle w:val="Heading1"/>
      </w:pPr>
      <w:r>
        <w:t xml:space="preserve">7. Ethics and Reflections (Conference Flyer Requirement)</w:t>
      </w:r>
    </w:p>
    <w:p>
      <w:pPr>
        <w:pStyle w:val="FirstParagraph"/>
      </w:pPr>
      <w:r>
        <w:t xml:space="preserve">Beyond database ethics, the paper meets the conference’s methodology requirement to</w:t>
      </w:r>
      <w:r>
        <w:t xml:space="preserve"> </w:t>
      </w:r>
      <w:r>
        <w:rPr>
          <w:i/>
          <w:iCs/>
        </w:rPr>
        <w:t xml:space="preserve">reflect on process</w:t>
      </w:r>
      <w:r>
        <w:t xml:space="preserve">: staged API acquisition, bug-to-fix audit trail in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, and reproducibility via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are disclosed so that future authors can recreate or extend the analysis without repeating API failures.</w:t>
      </w:r>
    </w:p>
    <w:bookmarkEnd w:id="38"/>
    <w:bookmarkStart w:id="39" w:name="conclusion-and-policy-implications"/>
    <w:p>
      <w:pPr>
        <w:pStyle w:val="Heading1"/>
      </w:pPr>
      <w:r>
        <w:t xml:space="preserve">8. Conclusion and Policy Implications</w:t>
      </w:r>
    </w:p>
    <w:p>
      <w:pPr>
        <w:pStyle w:val="FirstParagraph"/>
      </w:pPr>
      <w:r>
        <w:t xml:space="preserve">Urban agriculture in Nigeria is spatially clustered, not diffuse: 5% of LGAs hold all 484 mapped points, with a density Moran I of 0.300 (p&lt;0.001). Two actionable levers follow: (i)</w:t>
      </w:r>
      <w:r>
        <w:t xml:space="preserve"> </w:t>
      </w:r>
      <w:r>
        <w:rPr>
          <w:b/>
          <w:bCs/>
        </w:rPr>
        <w:t xml:space="preserve">allotment zoning</w:t>
      </w:r>
      <w:r>
        <w:t xml:space="preserve"> </w:t>
      </w:r>
      <w:r>
        <w:t xml:space="preserve">— formally recognise HH LGAs (Kano metropolis, Obio/Akpor, Ikorodu) in state urban plans and protect fadama buffers; (ii)</w:t>
      </w:r>
      <w:r>
        <w:t xml:space="preserve"> </w:t>
      </w:r>
      <w:r>
        <w:rPr>
          <w:b/>
          <w:bCs/>
        </w:rPr>
        <w:t xml:space="preserve">compost circularity</w:t>
      </w:r>
      <w:r>
        <w:t xml:space="preserve"> </w:t>
      </w:r>
      <w:r>
        <w:t xml:space="preserve">— link municipal organic-waste composting to allotment soil restoration, prioritised by LISA/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near markets and water. Together they bridge urban food security and rural transformation under climate-smart, GIS-informed planning.</w:t>
      </w:r>
    </w:p>
    <w:bookmarkEnd w:id="39"/>
    <w:bookmarkStart w:id="62" w:name="references"/>
    <w:p>
      <w:pPr>
        <w:pStyle w:val="Heading1"/>
      </w:pPr>
      <w:r>
        <w:t xml:space="preserve">9. References</w:t>
      </w:r>
    </w:p>
    <w:bookmarkStart w:id="61" w:name="refs"/>
    <w:bookmarkStart w:id="40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40"/>
    <w:bookmarkStart w:id="42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41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42"/>
    <w:bookmarkStart w:id="43" w:name="ref-aubry2012"/>
    <w:p>
      <w:pPr>
        <w:pStyle w:val="Bibliography"/>
      </w:pPr>
      <w:r>
        <w:t xml:space="preserve">Aubry, C., and L. Kebir. 2012.</w:t>
      </w:r>
      <w:r>
        <w:t xml:space="preserve"> </w:t>
      </w:r>
      <w:r>
        <w:t xml:space="preserve">“Short Food Supply Chains and Urban Agriculture.”</w:t>
      </w:r>
      <w:r>
        <w:t xml:space="preserve"> </w:t>
      </w:r>
      <w:r>
        <w:rPr>
          <w:i/>
          <w:iCs/>
        </w:rPr>
        <w:t xml:space="preserve">Urban Agriculture Magazine</w:t>
      </w:r>
      <w:r>
        <w:t xml:space="preserve"> </w:t>
      </w:r>
      <w:r>
        <w:t xml:space="preserve">26: 12–15.</w:t>
      </w:r>
    </w:p>
    <w:bookmarkEnd w:id="43"/>
    <w:bookmarkStart w:id="44" w:name="ref-bivand2022"/>
    <w:p>
      <w:pPr>
        <w:pStyle w:val="Bibliography"/>
      </w:pPr>
      <w:r>
        <w:t xml:space="preserve">Bivand, R., and D. Wong. 2022.</w:t>
      </w:r>
      <w:r>
        <w:t xml:space="preserve"> </w:t>
      </w:r>
      <w:r>
        <w:t xml:space="preserve">“Comparing Implementations of Global and Local Indicators of Spatial Association.”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27: 716–48.</w:t>
      </w:r>
    </w:p>
    <w:bookmarkEnd w:id="44"/>
    <w:bookmarkStart w:id="46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46"/>
    <w:bookmarkStart w:id="47" w:name="ref-frayne2014"/>
    <w:p>
      <w:pPr>
        <w:pStyle w:val="Bibliography"/>
      </w:pPr>
      <w:r>
        <w:t xml:space="preserve">Frayne, B. et al.</w:t>
      </w:r>
      <w:r>
        <w:t xml:space="preserve"> 2014.</w:t>
      </w:r>
      <w:r>
        <w:t xml:space="preserve"> </w:t>
      </w:r>
      <w:r>
        <w:t xml:space="preserve">“Urban Food Security in Africa.”</w:t>
      </w:r>
      <w:r>
        <w:t xml:space="preserve"> </w:t>
      </w:r>
      <w:r>
        <w:rPr>
          <w:i/>
          <w:iCs/>
        </w:rPr>
        <w:t xml:space="preserve">Urban Forum</w:t>
      </w:r>
      <w:r>
        <w:t xml:space="preserve">.</w:t>
      </w:r>
    </w:p>
    <w:bookmarkEnd w:id="47"/>
    <w:bookmarkStart w:id="49" w:name="ref-hijmans2022"/>
    <w:p>
      <w:pPr>
        <w:pStyle w:val="Bibliography"/>
      </w:pPr>
      <w:r>
        <w:t xml:space="preserve">Hijmans, R. J. 2022.</w:t>
      </w:r>
      <w:r>
        <w:t xml:space="preserve"> </w:t>
      </w:r>
      <w:r>
        <w:rPr>
          <w:i/>
          <w:iCs/>
        </w:rPr>
        <w:t xml:space="preserve">Terra: Spatial Data Analysis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49"/>
    <w:bookmarkStart w:id="50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50"/>
    <w:bookmarkStart w:id="52" w:name="ref-nasapower2024"/>
    <w:p>
      <w:pPr>
        <w:pStyle w:val="Bibliography"/>
      </w:pPr>
      <w:r>
        <w:t xml:space="preserve">NASA. 2024.</w:t>
      </w:r>
      <w:r>
        <w:t xml:space="preserve"> </w:t>
      </w:r>
      <w:r>
        <w:rPr>
          <w:i/>
          <w:iCs/>
        </w:rPr>
        <w:t xml:space="preserve">POWER Data Access Viewer — Daily Point (AG Community)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bookmarkEnd w:id="52"/>
    <w:bookmarkStart w:id="54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54"/>
    <w:bookmarkStart w:id="55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55"/>
    <w:bookmarkStart w:id="56" w:name="ref-pebesma2018"/>
    <w:p>
      <w:pPr>
        <w:pStyle w:val="Bibliography"/>
      </w:pPr>
      <w:r>
        <w:t xml:space="preserve">Pebesma, E. 2018.</w:t>
      </w:r>
      <w:r>
        <w:t xml:space="preserve"> </w:t>
      </w:r>
      <w:r>
        <w:t xml:space="preserve">“Simple Features for r: Standardized Support for Spatial Vector Data.”</w:t>
      </w:r>
      <w:r>
        <w:t xml:space="preserve"> </w:t>
      </w:r>
      <w:r>
        <w:rPr>
          <w:i/>
          <w:iCs/>
        </w:rPr>
        <w:t xml:space="preserve">The R Journal</w:t>
      </w:r>
      <w:r>
        <w:t xml:space="preserve"> </w:t>
      </w:r>
      <w:r>
        <w:t xml:space="preserve">10 (1): 439–46.</w:t>
      </w:r>
    </w:p>
    <w:bookmarkEnd w:id="56"/>
    <w:bookmarkStart w:id="57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57"/>
    <w:bookmarkStart w:id="59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59"/>
    <w:bookmarkStart w:id="60" w:name="ref-zezza2010"/>
    <w:p>
      <w:pPr>
        <w:pStyle w:val="Bibliography"/>
      </w:pPr>
      <w:r>
        <w:t xml:space="preserve">Zezza, A., and L. Tasciotti. 2010.</w:t>
      </w:r>
      <w:r>
        <w:t xml:space="preserve"> </w:t>
      </w:r>
      <w:r>
        <w:t xml:space="preserve">“Urban Agriculture, Poverty and Food Security.”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35: 265–73.</w:t>
      </w:r>
    </w:p>
    <w:bookmarkEnd w:id="60"/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hyperlink" Id="rId48" Target="https://CRAN.R-project.org/package=terra" TargetMode="External" /><Relationship Type="http://schemas.openxmlformats.org/officeDocument/2006/relationships/hyperlink" Id="rId58" Target="https://api.worldbank.org/v2/country/NG/indicator/SP.URB.TOTL;AG.PRD.FOOD.XD;SN.ITK.DEFC.ZS" TargetMode="External" /><Relationship Type="http://schemas.openxmlformats.org/officeDocument/2006/relationships/hyperlink" Id="rId41" Target="https://doi.org/10.1111/j.1538-4632.1995.tb00338.x" TargetMode="External" /><Relationship Type="http://schemas.openxmlformats.org/officeDocument/2006/relationships/hyperlink" Id="rId51" Target="https://power.larc.nasa.gov" TargetMode="External" /><Relationship Type="http://schemas.openxmlformats.org/officeDocument/2006/relationships/hyperlink" Id="rId45" Target="https://www.fao.org/faostat/" TargetMode="External" /><Relationship Type="http://schemas.openxmlformats.org/officeDocument/2006/relationships/hyperlink" Id="rId53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RAN.R-project.org/package=terra" TargetMode="External" /><Relationship Type="http://schemas.openxmlformats.org/officeDocument/2006/relationships/hyperlink" Id="rId58" Target="https://api.worldbank.org/v2/country/NG/indicator/SP.URB.TOTL;AG.PRD.FOOD.XD;SN.ITK.DEFC.ZS" TargetMode="External" /><Relationship Type="http://schemas.openxmlformats.org/officeDocument/2006/relationships/hyperlink" Id="rId41" Target="https://doi.org/10.1111/j.1538-4632.1995.tb00338.x" TargetMode="External" /><Relationship Type="http://schemas.openxmlformats.org/officeDocument/2006/relationships/hyperlink" Id="rId51" Target="https://power.larc.nasa.gov" TargetMode="External" /><Relationship Type="http://schemas.openxmlformats.org/officeDocument/2006/relationships/hyperlink" Id="rId45" Target="https://www.fao.org/faostat/" TargetMode="External" /><Relationship Type="http://schemas.openxmlformats.org/officeDocument/2006/relationships/hyperlink" Id="rId53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2026-08-26T02:31:00Z</dcterms:created>
  <dcterms:modified xsi:type="dcterms:W3CDTF">2026-08-26T02:31:00Z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