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Urban Agriculture and Urban Food Security in Nigeria: A Spatial Statistics Perspective</w:t>
      </w:r>
    </w:p>
    <w:p>
      <w:pPr>
        <w:pStyle w:val="Subtitle"/>
      </w:pPr>
      <w:r>
        <w:t xml:space="preserve">Federal Polytechnic Kaltungo — 2nd Annual National Multidisciplinary Conference 2026 (Sub-theme 6: Climate-Smart Agriculture, Food Security and Rural Transformation; Secondary: 10, 13)</w:t>
      </w:r>
    </w:p>
    <w:p>
      <w:pPr>
        <w:pStyle w:val="Author"/>
      </w:pPr>
      <w:r>
        <w:t xml:space="preserve">Yohanna — batestguy (presenting author)</w:t>
      </w:r>
    </w:p>
    <w:p>
      <w:pPr>
        <w:pStyle w:val="Date"/>
      </w:pPr>
      <w:r>
        <w:t xml:space="preserve">25 August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b/>
          <w:bCs/>
        </w:rPr>
        <w:t xml:space="preserve">Abstract (150–300 words, ≤6 keywords — replace this placeholder).</w:t>
      </w:r>
      <w:r>
        <w:t xml:space="preserve"> </w:t>
      </w:r>
      <w:r>
        <w:t xml:space="preserve">Urban agriculture is a growing component of Nigeria’s food system, yet its spatial distribution and contribution to urban food security remain under-quantified. This paper combines spatial statistics (global Moran’s I, LISA, spatial lag/error models) with open APIs (OpenStreetMap Overpass for allotment/farmland footprints; World Bank for urban population and food production indices; NASA POWER for climate) to map urban agriculture intensity across Abuja, Lagos, Kano, Port Harcourt and Gombe and test its association with food-security outcomes at LGA level. Early frozen extracts show… [Results placeholder]. Findings suggest… [Implication for climate-smart, circular-economy and community resilience]. The manuscript follows the conference specification: MS Word, Times New Roman 12pt, 1.5 spacing, ≤12 pages.</w:t>
      </w:r>
    </w:p>
    <w:bookmarkStart w:id="9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Urban agriculture in Nigerian cities — from dry-season fadama along riverbeds to rooftop and peri-urban allotments — is increasingly framed as a climate-smart lever for food security and community resilience</w:t>
      </w:r>
      <w:r>
        <w:t xml:space="preserve"> </w:t>
      </w:r>
      <w:r>
        <w:t xml:space="preserve">(FAO 2024)</w:t>
      </w:r>
      <w:r>
        <w:t xml:space="preserve">. Yet the evidence remains fragmented.</w:t>
      </w:r>
    </w:p>
    <w:p>
      <w:pPr>
        <w:pStyle w:val="BodyText"/>
      </w:pPr>
      <w:r>
        <w:rPr>
          <w:b/>
          <w:bCs/>
        </w:rPr>
        <w:t xml:space="preserve">Contribution:</w:t>
      </w:r>
      <w:r>
        <w:t xml:space="preserve"> </w:t>
      </w:r>
      <w:r>
        <w:t xml:space="preserve">This paper (i) freezes verifiable, API-sourced footprints of urban agriculture (OSM Overpass) and food-security indicators (World Bank/FAO/NASA POWER), (ii) applies spatial autocorrelation and spatial regression (</w:t>
      </w:r>
      <w:r>
        <w:rPr>
          <w:rStyle w:val="VerbatimChar"/>
        </w:rPr>
        <w:t xml:space="preserve">sf</w:t>
      </w:r>
      <w:r>
        <w:t xml:space="preserve">/</w:t>
      </w:r>
      <w:r>
        <w:rPr>
          <w:rStyle w:val="VerbatimChar"/>
        </w:rPr>
        <w:t xml:space="preserve">spdep</w:t>
      </w:r>
      <w:r>
        <w:t xml:space="preserve">/</w:t>
      </w:r>
      <w:r>
        <w:rPr>
          <w:rStyle w:val="VerbatimChar"/>
        </w:rPr>
        <w:t xml:space="preserve">terra</w:t>
      </w:r>
      <w:r>
        <w:t xml:space="preserve"> </w:t>
      </w:r>
      <w:r>
        <w:t xml:space="preserve">in R 4.5.2), and (iii) maps suitability for scaling.</w:t>
      </w:r>
    </w:p>
    <w:bookmarkEnd w:id="9"/>
    <w:bookmarkStart w:id="12" w:name="study-area-and-data"/>
    <w:p>
      <w:pPr>
        <w:pStyle w:val="Heading1"/>
      </w:pPr>
      <w:r>
        <w:t xml:space="preserve">2. Study Area and Data</w:t>
      </w:r>
    </w:p>
    <w:bookmarkStart w:id="10" w:name="study-area"/>
    <w:p>
      <w:pPr>
        <w:pStyle w:val="Heading2"/>
      </w:pPr>
      <w:r>
        <w:t xml:space="preserve">2.1 Study Area</w:t>
      </w:r>
    </w:p>
    <w:p>
      <w:pPr>
        <w:pStyle w:val="FirstParagraph"/>
      </w:pPr>
      <w:r>
        <w:t xml:space="preserve">Five cities stratified by agro-ecological and urban-form variation: Abuja (planned capital), Lagos (coastal megacity), Kano (Sahelian), Port Harcourt (Niger Delta), Gombe (savanna, host region).</w:t>
      </w:r>
    </w:p>
    <w:bookmarkEnd w:id="10"/>
    <w:bookmarkStart w:id="11" w:name="X72b4293a7efb7d4fc756eb73b3fc22e251f857f"/>
    <w:p>
      <w:pPr>
        <w:pStyle w:val="Heading2"/>
      </w:pPr>
      <w:r>
        <w:t xml:space="preserve">2.2 Data (frozen via APIs, provenance in</w:t>
      </w:r>
      <w:r>
        <w:t xml:space="preserve"> </w:t>
      </w:r>
      <w:r>
        <w:rPr>
          <w:rStyle w:val="VerbatimChar"/>
        </w:rPr>
        <w:t xml:space="preserve">data/raw/provenance.json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Layer retained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 agriculture footprints</w:t>
            </w:r>
          </w:p>
        </w:tc>
        <w:tc>
          <w:tcPr/>
          <w:p>
            <w:pPr>
              <w:pStyle w:val="Compact"/>
            </w:pPr>
            <w:r>
              <w:t xml:space="preserve">OSM Overpass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https://overpass-api.de/api/interpreter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landuse=allotments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farmland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farmyard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leisure=garden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Urban population / food indices</w:t>
            </w:r>
          </w:p>
        </w:tc>
        <w:tc>
          <w:tcPr/>
          <w:p>
            <w:pPr>
              <w:pStyle w:val="Compact"/>
            </w:pPr>
            <w:r>
              <w:t xml:space="preserve">World Bank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https://api.worldbank.org/v2/...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SP.URB.TOTL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AG.PRD.FOOD.XD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Climate</w:t>
            </w:r>
          </w:p>
        </w:tc>
        <w:tc>
          <w:tcPr/>
          <w:p>
            <w:pPr>
              <w:pStyle w:val="Compact"/>
            </w:pPr>
            <w:r>
              <w:t xml:space="preserve">NASA POWER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https://power.larc.nasa.gov/api/temporal/daily/point</w:t>
            </w:r>
          </w:p>
        </w:tc>
        <w:tc>
          <w:tcPr/>
          <w:p>
            <w:pPr>
              <w:pStyle w:val="Compact"/>
            </w:pPr>
            <w:r>
              <w:t xml:space="preserve">Precipitation, T2M, RH2M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Boundaries</w:t>
            </w:r>
          </w:p>
        </w:tc>
        <w:tc>
          <w:tcPr/>
          <w:p>
            <w:pPr>
              <w:pStyle w:val="Compact"/>
            </w:pPr>
            <w:r>
              <w:t xml:space="preserve">GADM/HDX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State/LGA polygons</w:t>
            </w:r>
          </w:p>
        </w:tc>
      </w:tr>
    </w:tbl>
    <w:p>
      <w:pPr>
        <w:pStyle w:val="BodyText"/>
      </w:pPr>
      <w:r>
        <w:t xml:space="preserve">All pulls are one-time and frozen to</w:t>
      </w:r>
      <w:r>
        <w:t xml:space="preserve"> </w:t>
      </w:r>
      <w:r>
        <w:rPr>
          <w:rStyle w:val="VerbatimChar"/>
        </w:rPr>
        <w:t xml:space="preserve">data/raw/*.csv</w:t>
      </w:r>
      <w:r>
        <w:t xml:space="preserve">. Analysis reads only the frozen CSVs.</w:t>
      </w:r>
    </w:p>
    <w:bookmarkEnd w:id="11"/>
    <w:bookmarkEnd w:id="12"/>
    <w:bookmarkStart w:id="17" w:name="methods"/>
    <w:p>
      <w:pPr>
        <w:pStyle w:val="Heading1"/>
      </w:pPr>
      <w:r>
        <w:t xml:space="preserve">3. Methods</w:t>
      </w:r>
    </w:p>
    <w:bookmarkStart w:id="13" w:name="spatial-descriptive"/>
    <w:p>
      <w:pPr>
        <w:pStyle w:val="Heading2"/>
      </w:pPr>
      <w:r>
        <w:t xml:space="preserve">3.1 Spatial descriptive</w:t>
      </w:r>
    </w:p>
    <w:p>
      <w:pPr>
        <w:pStyle w:val="Compact"/>
        <w:numPr>
          <w:ilvl w:val="0"/>
          <w:numId w:val="1001"/>
        </w:numPr>
      </w:pPr>
      <w:r>
        <w:t xml:space="preserve">Density (allotments km⁻²), kernel density (</w:t>
      </w:r>
      <w:r>
        <w:rPr>
          <w:rStyle w:val="VerbatimChar"/>
        </w:rPr>
        <w:t xml:space="preserve">spatstat</w:t>
      </w:r>
      <w:r>
        <w:t xml:space="preserve">), nearest-neighbour.</w:t>
      </w:r>
    </w:p>
    <w:bookmarkEnd w:id="13"/>
    <w:bookmarkStart w:id="14" w:name="spatial-dependence"/>
    <w:p>
      <w:pPr>
        <w:pStyle w:val="Heading2"/>
      </w:pPr>
      <w:r>
        <w:t xml:space="preserve">3.2 Spatial dependence</w:t>
      </w:r>
    </w:p>
    <w:p>
      <w:pPr>
        <w:pStyle w:val="Compact"/>
        <w:numPr>
          <w:ilvl w:val="0"/>
          <w:numId w:val="1002"/>
        </w:numPr>
      </w:pPr>
      <w:r>
        <w:t xml:space="preserve">Global Moran’s I (</w:t>
      </w:r>
      <w:r>
        <w:rPr>
          <w:rStyle w:val="VerbatimChar"/>
        </w:rPr>
        <w:t xml:space="preserve">spdep::moran.test</w:t>
      </w:r>
      <w:r>
        <w:t xml:space="preserve">) and LISA (</w:t>
      </w:r>
      <w:r>
        <w:rPr>
          <w:rStyle w:val="VerbatimChar"/>
        </w:rPr>
        <w:t xml:space="preserve">localmoran</w:t>
      </w:r>
      <w:r>
        <w:t xml:space="preserve">) on food-security indicator by LGA.</w:t>
      </w:r>
    </w:p>
    <w:bookmarkEnd w:id="14"/>
    <w:bookmarkStart w:id="15" w:name="spatial-regression"/>
    <w:p>
      <w:pPr>
        <w:pStyle w:val="Heading2"/>
      </w:pPr>
      <w:r>
        <w:t xml:space="preserve">3.3 Spatial regression</w:t>
      </w:r>
    </w:p>
    <w:p>
      <w:pPr>
        <w:pStyle w:val="Compact"/>
        <w:numPr>
          <w:ilvl w:val="0"/>
          <w:numId w:val="1003"/>
        </w:numPr>
      </w:pPr>
      <w:r>
        <w:t xml:space="preserve">Spatial lag</w:t>
      </w:r>
      <w:r>
        <w:t xml:space="preserve"> </w:t>
      </w:r>
      <w:r>
        <w:rPr>
          <w:rStyle w:val="VerbatimChar"/>
        </w:rPr>
        <w:t xml:space="preserve">y = ρWy + Xβ + ε</w:t>
      </w:r>
      <w:r>
        <w:t xml:space="preserve"> </w:t>
      </w:r>
      <w:r>
        <w:t xml:space="preserve">and spatial error</w:t>
      </w:r>
      <w:r>
        <w:t xml:space="preserve"> </w:t>
      </w:r>
      <w:r>
        <w:rPr>
          <w:rStyle w:val="VerbatimChar"/>
        </w:rPr>
        <w:t xml:space="preserve">y = Xβ + u, u = λWu + ε</w:t>
      </w:r>
      <w:r>
        <w:t xml:space="preserve"> </w:t>
      </w:r>
      <w:r>
        <w:t xml:space="preserve">(</w:t>
      </w:r>
      <w:r>
        <w:rPr>
          <w:rStyle w:val="VerbatimChar"/>
        </w:rPr>
        <w:t xml:space="preserve">spatialreg::lagsarlm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errorsarlm</w:t>
      </w:r>
      <w:r>
        <w:t xml:space="preserve">), covariates: urban ag density, rainfall, temperature, population density. Model choice via AIC / likelihood ratio.</w:t>
      </w:r>
    </w:p>
    <w:bookmarkEnd w:id="15"/>
    <w:bookmarkStart w:id="16" w:name="suitability-overlay"/>
    <w:p>
      <w:pPr>
        <w:pStyle w:val="Heading2"/>
      </w:pPr>
      <w:r>
        <w:t xml:space="preserve">3.4 Suitability overlay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terra</w:t>
      </w:r>
      <w:r>
        <w:t xml:space="preserve"> </w:t>
      </w:r>
      <w:r>
        <w:t xml:space="preserve">weighted overlay: proximity to markets, water, land availability.</w:t>
      </w:r>
    </w:p>
    <w:p>
      <w:pPr>
        <w:pStyle w:val="FirstParagraph"/>
      </w:pPr>
      <w:r>
        <w:rPr>
          <w:i/>
          <w:iCs/>
        </w:rPr>
        <w:t xml:space="preserve">Environment:</w:t>
      </w:r>
      <w:r>
        <w:t xml:space="preserve"> </w:t>
      </w:r>
      <w:r>
        <w:t xml:space="preserve">R 4.5.2 (</w:t>
      </w:r>
      <w:r>
        <w:rPr>
          <w:rStyle w:val="VerbatimChar"/>
        </w:rPr>
        <w:t xml:space="preserve">sf 1.1.2</w:t>
      </w:r>
      <w:r>
        <w:t xml:space="preserve">,</w:t>
      </w:r>
      <w:r>
        <w:t xml:space="preserve"> </w:t>
      </w:r>
      <w:r>
        <w:rPr>
          <w:rStyle w:val="VerbatimChar"/>
        </w:rPr>
        <w:t xml:space="preserve">terra 1.9.46</w:t>
      </w:r>
      <w:r>
        <w:t xml:space="preserve">,</w:t>
      </w:r>
      <w:r>
        <w:t xml:space="preserve"> </w:t>
      </w:r>
      <w:r>
        <w:rPr>
          <w:rStyle w:val="VerbatimChar"/>
        </w:rPr>
        <w:t xml:space="preserve">spdep 1.4.2</w:t>
      </w:r>
      <w:r>
        <w:t xml:space="preserve">); Python</w:t>
      </w:r>
      <w:r>
        <w:t xml:space="preserve"> </w:t>
      </w:r>
      <w:r>
        <w:rPr>
          <w:rStyle w:val="VerbatimChar"/>
        </w:rPr>
        <w:t xml:space="preserve">ds-general</w:t>
      </w:r>
      <w:r>
        <w:t xml:space="preserve"> </w:t>
      </w:r>
      <w:r>
        <w:t xml:space="preserve">(3.12) for API harvest. See</w:t>
      </w:r>
      <w:r>
        <w:t xml:space="preserve"> </w:t>
      </w:r>
      <w:r>
        <w:rPr>
          <w:rStyle w:val="VerbatimChar"/>
        </w:rPr>
        <w:t xml:space="preserve">ENVIRONMENTS.md</w:t>
      </w:r>
      <w:r>
        <w:t xml:space="preserve">.</w:t>
      </w:r>
    </w:p>
    <w:bookmarkEnd w:id="16"/>
    <w:bookmarkEnd w:id="17"/>
    <w:bookmarkStart w:id="18" w:name="X93f7cda23f03c3701e8fc66e052b2541417ca45"/>
    <w:p>
      <w:pPr>
        <w:pStyle w:val="Heading1"/>
      </w:pPr>
      <w:r>
        <w:t xml:space="preserve">4. Results (placeholders — replace after</w:t>
      </w:r>
      <w:r>
        <w:t xml:space="preserve"> </w:t>
      </w:r>
      <w:r>
        <w:rPr>
          <w:rStyle w:val="VerbatimChar"/>
        </w:rPr>
        <w:t xml:space="preserve">analysis/spatial/</w:t>
      </w:r>
      <w:r>
        <w:t xml:space="preserve"> </w:t>
      </w:r>
      <w:r>
        <w:t xml:space="preserve">run)</w:t>
      </w:r>
    </w:p>
    <w:p>
      <w:pPr>
        <w:pStyle w:val="Compact"/>
        <w:numPr>
          <w:ilvl w:val="0"/>
          <w:numId w:val="1005"/>
        </w:numPr>
      </w:pPr>
      <w:r>
        <w:t xml:space="preserve">Table 1: Density by city.</w:t>
      </w:r>
    </w:p>
    <w:p>
      <w:pPr>
        <w:pStyle w:val="Compact"/>
        <w:numPr>
          <w:ilvl w:val="0"/>
          <w:numId w:val="1005"/>
        </w:numPr>
      </w:pPr>
      <w:r>
        <w:t xml:space="preserve">Figure 1: LISA cluster map.</w:t>
      </w:r>
    </w:p>
    <w:p>
      <w:pPr>
        <w:pStyle w:val="Compact"/>
        <w:numPr>
          <w:ilvl w:val="0"/>
          <w:numId w:val="1005"/>
        </w:numPr>
      </w:pPr>
      <w:r>
        <w:t xml:space="preserve">Table 2: Moran’s I and spatial regression coefficients (with 95% CI).</w:t>
      </w:r>
    </w:p>
    <w:bookmarkEnd w:id="18"/>
    <w:bookmarkStart w:id="19" w:name="discussion"/>
    <w:p>
      <w:pPr>
        <w:pStyle w:val="Heading1"/>
      </w:pPr>
      <w:r>
        <w:t xml:space="preserve">5. Discussion</w:t>
      </w:r>
    </w:p>
    <w:p>
      <w:pPr>
        <w:pStyle w:val="FirstParagraph"/>
      </w:pPr>
      <w:r>
        <w:t xml:space="preserve">Link to climate-smart agriculture (heat-island mitigation, water-use efficiency, compost circularity), GIS/urban planning (#10), and environmental sustainability/circular economy (#13).</w:t>
      </w:r>
    </w:p>
    <w:bookmarkEnd w:id="19"/>
    <w:bookmarkStart w:id="20" w:name="ethics-and-reflections"/>
    <w:p>
      <w:pPr>
        <w:pStyle w:val="Heading1"/>
      </w:pPr>
      <w:r>
        <w:t xml:space="preserve">6. Ethics and Reflections</w:t>
      </w:r>
    </w:p>
    <w:p>
      <w:pPr>
        <w:pStyle w:val="FirstParagraph"/>
      </w:pPr>
      <w:r>
        <w:t xml:space="preserve">Data are open and attributed (OSM © OpenStreetMap contributors, World Bank CC BY-4.0, NASA POWER). No personally identifiable data. Limitations: OSM completeness varies by city; API provenance freezes mitigate reproducibility risk. Reflections per Hull Ch 3 criteria (what/why, justification, ethics, process).</w:t>
      </w:r>
    </w:p>
    <w:bookmarkEnd w:id="20"/>
    <w:bookmarkStart w:id="21" w:name="conclusion-and-policy-implications"/>
    <w:p>
      <w:pPr>
        <w:pStyle w:val="Heading1"/>
      </w:pPr>
      <w:r>
        <w:t xml:space="preserve">7. Conclusion and Policy Implications</w:t>
      </w:r>
    </w:p>
    <w:p>
      <w:pPr>
        <w:pStyle w:val="FirstParagraph"/>
      </w:pPr>
      <w:r>
        <w:t xml:space="preserve">Urban agriculture complements rural transformation — shortening supply chains, buffering price shocks, and building community resilience. Provide two actionable levers (e.g., allotment zoning, compost loop).</w:t>
      </w:r>
    </w:p>
    <w:bookmarkEnd w:id="21"/>
    <w:bookmarkStart w:id="25" w:name="references"/>
    <w:p>
      <w:pPr>
        <w:pStyle w:val="Heading1"/>
      </w:pPr>
      <w:r>
        <w:t xml:space="preserve">8. References</w:t>
      </w:r>
    </w:p>
    <w:bookmarkStart w:id="24" w:name="refs"/>
    <w:bookmarkStart w:id="23" w:name="ref-faostat2024"/>
    <w:p>
      <w:pPr>
        <w:pStyle w:val="Bibliography"/>
      </w:pPr>
      <w:r>
        <w:t xml:space="preserve">FAO. 2024.</w:t>
      </w:r>
      <w:r>
        <w:t xml:space="preserve"> </w:t>
      </w:r>
      <w:r>
        <w:rPr>
          <w:i/>
          <w:iCs/>
        </w:rPr>
        <w:t xml:space="preserve">FAOSTAT Food Security Indicators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https://www.fao.org/faostat/</w:t>
        </w:r>
      </w:hyperlink>
      <w:r>
        <w:t xml:space="preserve">.</w:t>
      </w:r>
    </w:p>
    <w:bookmarkEnd w:id="23"/>
    <w:bookmarkEnd w:id="24"/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Formatting compliance (flyer):</w:t>
      </w:r>
      <w:r>
        <w:t xml:space="preserve"> </w:t>
      </w:r>
      <w:r>
        <w:t xml:space="preserve">Times New Roman 12pt, 1.5 spacing, ≤12 pages, MS Word. Render via</w:t>
      </w:r>
      <w:r>
        <w:t xml:space="preserve"> </w:t>
      </w:r>
      <w:r>
        <w:rPr>
          <w:rStyle w:val="VerbatimChar"/>
        </w:rPr>
        <w:t xml:space="preserve">quarto render manuscript.qmd --to docx</w:t>
      </w:r>
      <w:r>
        <w:t xml:space="preserve"> </w:t>
      </w:r>
      <w:r>
        <w:t xml:space="preserve">and verify page count in Word before emailing to</w:t>
      </w:r>
      <w:r>
        <w:t xml:space="preserve"> </w:t>
      </w:r>
      <w:r>
        <w:rPr>
          <w:rStyle w:val="VerbatimChar"/>
        </w:rPr>
        <w:t xml:space="preserve">fpksstconf2026@gmail.com</w:t>
      </w:r>
      <w:r>
        <w:t xml:space="preserve"> </w:t>
      </w:r>
      <w:r>
        <w:t xml:space="preserve">(abstract 5 Oct 2026, full paper 9 Oct 2026). Fees: Physical ₦13,000 / Virtual ₦10,000 / Students ₦5,000 — First Bank Plc, School Of Science Conference Fpk, 2047116096.</w:t>
      </w:r>
    </w:p>
    <w:p>
      <w:pPr>
        <w:pStyle w:val="BodyText"/>
      </w:pPr>
      <w:r>
        <w:rPr>
          <w:b/>
          <w:bCs/>
        </w:rPr>
        <w:t xml:space="preserve">Reproducibility:</w:t>
      </w:r>
      <w:r>
        <w:t xml:space="preserve"> </w:t>
      </w:r>
      <w:r>
        <w:t xml:space="preserve">All numbers trace to</w:t>
      </w:r>
      <w:r>
        <w:t xml:space="preserve"> </w:t>
      </w:r>
      <w:r>
        <w:rPr>
          <w:rStyle w:val="VerbatimChar"/>
        </w:rPr>
        <w:t xml:space="preserve">data/raw/provenance.json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scripts/fetch_*.py</w:t>
      </w:r>
      <w:r>
        <w:t xml:space="preserve">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www.fao.org/faosta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fao.org/faosta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Urban Agriculture and Urban Food Security in Nigeria: A Spatial Statistics Perspective</dc:title>
  <dc:creator>Yohanna — batestguy (presenting author)</dc:creator>
  <cp:keywords>urban agriculture, urban food security, spatial statistics, climate-smart agriculture, Nigeria</cp:keywords>
  <dcterms:created xsi:type="dcterms:W3CDTF">2026-08-25T06:39:38Z</dcterms:created>
  <dcterms:modified xsi:type="dcterms:W3CDTF">2026-08-25T06:39:38Z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Abstract (150–300 words, ≤6 keywords — replace this placeholder). Urban agriculture is a growing component of Nigeria’s food system, yet its spatial distribution and contribution to urban food security remain under-quantified. This paper combines spatial statistics (global Moran’s I, LISA, spatial lag/error models) with open APIs (OpenStreetMap Overpass for allotment/farmland footprints; World Bank for urban population and food production indices; NASA POWER for climate) to map urban agriculture intensity across Abuja, Lagos, Kano, Port Harcourt and Gombe and test its association with food-security outcomes at LGA level. Early frozen extracts show… [Results placeholder]. Findings suggest… [Implication for climate-smart, circular-economy and community resilience]. The manuscript follows the conference specification: MS Word, Times New Roman 12pt, 1.5 spacing, ≤12 pages.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date">
    <vt:lpwstr>25 August 2026</vt:lpwstr>
  </property>
  <property fmtid="{D5CDD505-2E9C-101B-9397-08002B2CF9AE}" pid="8" name="date-format">
    <vt:lpwstr>D MMMM YYYY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Federal Polytechnic Kaltungo — 2nd Annual National Multidisciplinary Conference 2026 (Sub-theme 6: Climate-Smart Agriculture, Food Security and Rural Transformation; Secondary: 10, 13)</vt:lpwstr>
  </property>
  <property fmtid="{D5CDD505-2E9C-101B-9397-08002B2CF9AE}" pid="15" name="toc-title">
    <vt:lpwstr>Table of contents</vt:lpwstr>
  </property>
</Properties>
</file>