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48.png" ContentType="image/png"/>
  <Override PartName="/word/media/rId32.png" ContentType="image/png"/>
  <Override PartName="/word/media/rId40.png" ContentType="image/png"/>
  <Override PartName="/word/media/rId2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Urban Agriculture and Urban Food Security in Nigeria: A Spatial Statistics Perspective</w:t>
      </w:r>
    </w:p>
    <w:p>
      <w:pPr>
        <w:pStyle w:val="Subtitle"/>
      </w:pPr>
      <w:r>
        <w:t xml:space="preserve">Federal Polytechnic Kaltungo — 2nd Annual National Multidisciplinary Conference 2026 (Sub-theme 6: Climate-Smart Agriculture, Food Security and Rural Transformation; Secondary: 10 GIS &amp; Urban Planning, 13 Circular Economy &amp; Environmental Sustainability)</w:t>
      </w:r>
    </w:p>
    <w:p>
      <w:pPr>
        <w:pStyle w:val="Author"/>
      </w:pPr>
      <w:r>
        <w:t xml:space="preserve">Yohanna — batestguy (presenting author)</w:t>
      </w:r>
    </w:p>
    <w:p>
      <w:pPr>
        <w:pStyle w:val="Date"/>
      </w:pPr>
      <w:r>
        <w:t xml:space="preserve">26 August 2026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Urban agriculture is promoted as a climate-smart lever for food security, yet its spatial pattern and local food-security linkage remain under-quantified in Nigeria. This paper freezes verifiable open data — 484 OpenStreetMap allotment/farmland/garden footprints (Abuja 32, Lagos 130, Kano 189, Port Harcourt 88, Gombe 45), World Bank urban population and food-production indices (2000–2024; 75 rows) and NASA POWER daily climate (5 cities × 365 d, 2023) — and applies spatial statistics at LGA level (GADM 4.1, 775 LGAs). Global Moran’s I on urban-agriculture counts is 0.158 (z=8.47, p&lt;0.001) and on density (points km⁻²) is 0.300 (z=17.6, p&lt;0.001), indicating strong spatial clustering. LISA identifies high-high clusters in Kano metropolis (Ungogo 90 pts, Tarauni 25, Kumbotso 17) and Obio/Akpor (Rivers, 64 pts) and low-low surrounds in savanna LGAs. Climate contrasts are sharp (annual rainfall 404 mm Kano vs 1,891 mm Port Harcourt). Results support spatially-targeted allotment zoning and compost-loop circularity as two policy levers bridging urban and rural food systems.</w:t>
      </w:r>
    </w:p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Urban agriculture in Nigerian cities — encompassing dry-season fadama along riverbeds, irrigated peri-urban farmland, and intra-urban allotments — is increasingly positioned as a climate-smart lever for food security and community resilience amid accelerated urbanisation and climate variability</w:t>
      </w:r>
      <w:r>
        <w:t xml:space="preserve"> </w:t>
      </w:r>
      <w:r>
        <w:t xml:space="preserve">(</w:t>
      </w:r>
      <w:r>
        <w:t xml:space="preserve">Orhevba et al.</w:t>
      </w:r>
      <w:r>
        <w:t xml:space="preserve"> </w:t>
      </w:r>
      <w:r>
        <w:t xml:space="preserve">2024; FAO 2024; Abubakar and Dano 2023; FAO, IFAD, UNICEF, WFP and WHO 2023)</w:t>
      </w:r>
      <w:r>
        <w:t xml:space="preserve">. Nigeria’s urban population reached 146.5 million in 2024 (&gt;55% of the total)</w:t>
      </w:r>
      <w:r>
        <w:t xml:space="preserve"> </w:t>
      </w:r>
      <w:r>
        <w:t xml:space="preserve">(World Bank 2024; UN DESA Population Division 2022)</w:t>
      </w:r>
      <w:r>
        <w:t xml:space="preserve">, outpacing formal food-system infrastructure and creating a pressing need to map where urban agriculture occurs and whether its concentration aligns with food-security needs</w:t>
      </w:r>
      <w:r>
        <w:t xml:space="preserve"> </w:t>
      </w:r>
      <w:r>
        <w:t xml:space="preserve">(</w:t>
      </w:r>
      <w:r>
        <w:t xml:space="preserve">Udoh et al.</w:t>
      </w:r>
      <w:r>
        <w:t xml:space="preserve"> </w:t>
      </w:r>
      <w:r>
        <w:t xml:space="preserve">2022;</w:t>
      </w:r>
      <w:r>
        <w:t xml:space="preserve"> </w:t>
      </w:r>
      <w:r>
        <w:t xml:space="preserve">Frayne et al.</w:t>
      </w:r>
      <w:r>
        <w:t xml:space="preserve"> </w:t>
      </w:r>
      <w:r>
        <w:t xml:space="preserve">2014;</w:t>
      </w:r>
      <w:r>
        <w:t xml:space="preserve"> </w:t>
      </w:r>
      <w:r>
        <w:t xml:space="preserve">Ogundele et al.</w:t>
      </w:r>
      <w:r>
        <w:t xml:space="preserve"> </w:t>
      </w:r>
      <w:r>
        <w:t xml:space="preserve">2023)</w:t>
      </w:r>
      <w:r>
        <w:t xml:space="preserve">.</w:t>
      </w:r>
    </w:p>
    <w:p>
      <w:pPr>
        <w:pStyle w:val="BodyText"/>
      </w:pPr>
      <w:r>
        <w:t xml:space="preserve">Evidence remains fragmented and aspatial: surveys rarely georeference sites, case studies seldom formalise dependence, and food-security metrics mask intra-urban heterogeneity</w:t>
      </w:r>
      <w:r>
        <w:t xml:space="preserve"> </w:t>
      </w:r>
      <w:r>
        <w:t xml:space="preserve">(Zezza and Tasciotti 2010; Aubry and Kebir 2012;</w:t>
      </w:r>
      <w:r>
        <w:t xml:space="preserve"> </w:t>
      </w:r>
      <w:r>
        <w:t xml:space="preserve">Adeleye et al.</w:t>
      </w:r>
      <w:r>
        <w:t xml:space="preserve"> </w:t>
      </w:r>
      <w:r>
        <w:t xml:space="preserve">2024)</w:t>
      </w:r>
      <w:r>
        <w:t xml:space="preserve">, limiting translation into zoning, fadama protection and compost loops (sub-themes 6/10/13). The National Urban Policy (2022) prioritises compact cities and food-system integration but lacks LGA-level evidence — a gap addressed here.</w:t>
      </w:r>
    </w:p>
    <w:p>
      <w:pPr>
        <w:pStyle w:val="BodyText"/>
      </w:pPr>
      <w:r>
        <w:t xml:space="preserve">We address this by (i) freezing OSM and indicator footprints with provenance (16 entries)</w:t>
      </w:r>
      <w:r>
        <w:t xml:space="preserve"> </w:t>
      </w:r>
      <w:r>
        <w:t xml:space="preserve">(OpenStreetMap contributors 2024; NASA 2024)</w:t>
      </w:r>
      <w:r>
        <w:t xml:space="preserve">, (ii) applying Moran/LISA and lag/error regression (Eqs.</w:t>
      </w:r>
      <w:r>
        <w:t xml:space="preserve"> </w:t>
      </w:r>
      <w:hyperlink w:anchor="eq-moran">
        <w:r>
          <w:rPr>
            <w:rStyle w:val="Hyperlink"/>
          </w:rPr>
          <w:t xml:space="preserve">Equation 2</w:t>
        </w:r>
      </w:hyperlink>
      <w:r>
        <w:t xml:space="preserve">–</w:t>
      </w:r>
      <w:hyperlink w:anchor="eq-error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sf</w:t>
      </w:r>
      <w:r>
        <w:t xml:space="preserve">/</w:t>
      </w:r>
      <w:r>
        <w:rPr>
          <w:rStyle w:val="VerbatimChar"/>
        </w:rPr>
        <w:t xml:space="preserve">spdep</w:t>
      </w:r>
      <w:r>
        <w:t xml:space="preserve">/</w:t>
      </w:r>
      <w:r>
        <w:rPr>
          <w:rStyle w:val="VerbatimChar"/>
        </w:rPr>
        <w:t xml:space="preserve">terra</w:t>
      </w:r>
      <w:r>
        <w:t xml:space="preserve">)</w:t>
      </w:r>
      <w:r>
        <w:t xml:space="preserve"> </w:t>
      </w:r>
      <w:r>
        <w:t xml:space="preserve">(Pebesma and Bivand 2023; Bivand et al. 2023; Anselin 1995; Moran 1950)</w:t>
      </w:r>
      <w:r>
        <w:t xml:space="preserve">, and (iii) translating clusters (</w:t>
      </w:r>
      <m:oMath>
        <m:r>
          <m:t>I</m:t>
        </m:r>
        <m:r>
          <m:rPr>
            <m:sty m:val="p"/>
          </m:rPr>
          <m:t>=</m:t>
        </m:r>
        <m:r>
          <m:t>0.300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into zoning and circular-system insights.</w:t>
      </w:r>
    </w:p>
    <w:bookmarkEnd w:id="9"/>
    <w:bookmarkStart w:id="12" w:name="study-area-and-data"/>
    <w:p>
      <w:pPr>
        <w:pStyle w:val="Heading1"/>
      </w:pPr>
      <w:r>
        <w:t xml:space="preserve">2. Study Area and Data</w:t>
      </w:r>
    </w:p>
    <w:bookmarkStart w:id="10" w:name="study-area"/>
    <w:p>
      <w:pPr>
        <w:pStyle w:val="Heading2"/>
      </w:pPr>
      <w:r>
        <w:t xml:space="preserve">2.1 Study Area</w:t>
      </w:r>
    </w:p>
    <w:p>
      <w:pPr>
        <w:pStyle w:val="FirstParagraph"/>
      </w:pPr>
      <w:r>
        <w:t xml:space="preserve">Five cities maximise agro-ecological and urban-form variation: Abuja (planned capital, Guinean savanna), Lagos (coastal megacity), Kano (Sahelian), Port Harcourt (humid Niger Delta) and Gombe (savanna, host region). They span 404–1,891 mm rainfall and 25.9–27.3°C (Table 2), affording a gradient for H2. The LGA (GADM v4.1, 775 units) is the areal unit, balancing administrative relevance for zoning with globally-available boundaries</w:t>
      </w:r>
      <w:r>
        <w:t xml:space="preserve"> </w:t>
      </w:r>
      <w:r>
        <w:t xml:space="preserve">(GADM 2022)</w:t>
      </w:r>
      <w:r>
        <w:t xml:space="preserve">.</w:t>
      </w:r>
    </w:p>
    <w:bookmarkEnd w:id="10"/>
    <w:bookmarkStart w:id="11" w:name="X72b4293a7efb7d4fc756eb73b3fc22e251f857f"/>
    <w:p>
      <w:pPr>
        <w:pStyle w:val="Heading2"/>
      </w:pPr>
      <w:r>
        <w:t xml:space="preserve">2.2 Data (frozen via APIs, provenance in</w:t>
      </w:r>
      <w:r>
        <w:t xml:space="preserve"> </w:t>
      </w:r>
      <w:r>
        <w:rPr>
          <w:rStyle w:val="VerbatimChar"/>
        </w:rPr>
        <w:t xml:space="preserve">data/raw/provenance.json</w:t>
      </w:r>
      <w:r>
        <w:t xml:space="preserve">)</w:t>
      </w:r>
    </w:p>
    <w:p>
      <w:pPr>
        <w:pStyle w:val="FirstParagraph"/>
      </w:pPr>
      <w:r>
        <w:t xml:space="preserve">Data were acquired via one-time scripted queries (</w:t>
      </w:r>
      <w:r>
        <w:rPr>
          <w:rStyle w:val="VerbatimChar"/>
        </w:rPr>
        <w:t xml:space="preserve">ds-general</w:t>
      </w:r>
      <w:r>
        <w:t xml:space="preserve"> </w:t>
      </w:r>
      <w:r>
        <w:t xml:space="preserve">Python 3.12) and frozen to</w:t>
      </w:r>
      <w:r>
        <w:t xml:space="preserve"> </w:t>
      </w:r>
      <w:r>
        <w:rPr>
          <w:rStyle w:val="VerbatimChar"/>
        </w:rPr>
        <w:t xml:space="preserve">data/raw/*.csv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(16 entries, URL/timestamp/licence) ensuring reproducibility without further network calls.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485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Retained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Urban-ag footprints</w:t>
            </w:r>
          </w:p>
        </w:tc>
        <w:tc>
          <w:tcPr/>
          <w:p>
            <w:pPr>
              <w:pStyle w:val="Compact"/>
            </w:pPr>
            <w:r>
              <w:t xml:space="preserve">OSM Overpass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https://overpass-api.de/api/interpreter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landuse</w:t>
            </w:r>
            <w:r>
              <w:t xml:space="preserve"> </w:t>
            </w:r>
            <w:r>
              <w:t xml:space="preserve">allotments/farmland/farmyard,</w:t>
            </w:r>
            <w:r>
              <w:t xml:space="preserve"> </w:t>
            </w:r>
            <w:r>
              <w:rPr>
                <w:rStyle w:val="VerbatimChar"/>
              </w:rPr>
              <w:t xml:space="preserve">leisure</w:t>
            </w:r>
            <w:r>
              <w:t xml:space="preserve"> </w:t>
            </w:r>
            <w:r>
              <w:t xml:space="preserve">garden (dedup.</w:t>
            </w:r>
            <w:r>
              <w:t xml:space="preserve"> </w:t>
            </w:r>
            <w:r>
              <w:rPr>
                <w:rStyle w:val="VerbatimChar"/>
              </w:rPr>
              <w:t xml:space="preserve">type+id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Population/food</w:t>
            </w:r>
          </w:p>
        </w:tc>
        <w:tc>
          <w:tcPr/>
          <w:p>
            <w:pPr>
              <w:pStyle w:val="Compact"/>
            </w:pPr>
            <w:r>
              <w:t xml:space="preserve">World Bank WDI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.../NG/indicator/{SP.URB.TOTL,AG.PRD.FOOD.XD,SN.ITK.DEFC.ZS}</w:t>
            </w:r>
          </w:p>
        </w:tc>
        <w:tc>
          <w:tcPr/>
          <w:p>
            <w:pPr>
              <w:pStyle w:val="Compact"/>
            </w:pPr>
            <w:r>
              <w:t xml:space="preserve">Pop., food index, undernourishment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Climate</w:t>
            </w:r>
          </w:p>
        </w:tc>
        <w:tc>
          <w:tcPr/>
          <w:p>
            <w:pPr>
              <w:pStyle w:val="Compact"/>
            </w:pPr>
            <w:r>
              <w:t xml:space="preserve">NASA POWER AG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.../power.larc.nasa.gov/api/temporal/daily/point?community=AG</w:t>
            </w:r>
          </w:p>
        </w:tc>
        <w:tc>
          <w:tcPr/>
          <w:p>
            <w:pPr>
              <w:pStyle w:val="Compact"/>
            </w:pPr>
            <w:r>
              <w:t xml:space="preserve">T2M, PRECTOTCORR, RH2M (daily 2023)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Boundaries</w:t>
            </w:r>
          </w:p>
        </w:tc>
        <w:tc>
          <w:tcPr/>
          <w:p>
            <w:pPr>
              <w:pStyle w:val="Compact"/>
            </w:pPr>
            <w:r>
              <w:t xml:space="preserve">GADM v4.1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.../gadm41_NGA_shp.zip</w:t>
            </w:r>
          </w:p>
        </w:tc>
        <w:tc>
          <w:tcPr/>
          <w:p>
            <w:pPr>
              <w:pStyle w:val="Compact"/>
            </w:pPr>
            <w:r>
              <w:t xml:space="preserve">LGA polygons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 stub</w:t>
            </w:r>
          </w:p>
        </w:tc>
        <w:tc>
          <w:tcPr/>
          <w:p>
            <w:pPr>
              <w:pStyle w:val="Compact"/>
            </w:pPr>
            <w:r>
              <w:t xml:space="preserve">FAOSTAT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.../faostat/api/v1/en/data/FS</w:t>
            </w:r>
            <w:r>
              <w:t xml:space="preserve"> </w:t>
            </w:r>
            <w:r>
              <w:t xml:space="preserve">→ 521 → stub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fao_food_security.csv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FAOSTAT 521 → 1-row stub retained (see</w:t>
      </w:r>
      <w:r>
        <w:t xml:space="preserve"> </w:t>
      </w:r>
      <w:r>
        <w:rPr>
          <w:rStyle w:val="VerbatimChar"/>
        </w:rPr>
        <w:t xml:space="preserve">data/external/README.md</w:t>
      </w:r>
      <w:r>
        <w:t xml:space="preserve">). World Bank series are national aggregates → used as contextual covariates; DHS/NLSS subnational undernourishment is the extension</w:t>
      </w:r>
      <w:r>
        <w:t xml:space="preserve"> </w:t>
      </w:r>
      <w:r>
        <w:t xml:space="preserve">(</w:t>
      </w:r>
      <w:r>
        <w:t xml:space="preserve">Adeleye et al.</w:t>
      </w:r>
      <w:r>
        <w:t xml:space="preserve"> </w:t>
      </w:r>
      <w:r>
        <w:t xml:space="preserve">2024)</w:t>
      </w:r>
      <w:r>
        <w:t xml:space="preserve">.</w:t>
      </w:r>
    </w:p>
    <w:bookmarkEnd w:id="11"/>
    <w:bookmarkEnd w:id="12"/>
    <w:bookmarkStart w:id="23" w:name="methods"/>
    <w:p>
      <w:pPr>
        <w:pStyle w:val="Heading1"/>
      </w:pPr>
      <w:r>
        <w:t xml:space="preserve">3. Methods</w:t>
      </w:r>
    </w:p>
    <w:bookmarkStart w:id="13" w:name="design-and-hypotheses"/>
    <w:p>
      <w:pPr>
        <w:pStyle w:val="Heading2"/>
      </w:pPr>
      <w:r>
        <w:t xml:space="preserve">3.1 Design and hypotheses</w:t>
      </w:r>
    </w:p>
    <w:p>
      <w:pPr>
        <w:pStyle w:val="FirstParagraph"/>
      </w:pPr>
      <w:r>
        <w:t xml:space="preserve">We adopt a non-experimental spatial-observational design appropriate for areal inference from open data</w:t>
      </w:r>
      <w:r>
        <w:t xml:space="preserve"> </w:t>
      </w:r>
      <w:r>
        <w:t xml:space="preserve">(Bivand et al. 2023; Pebesma and Bivand 2023)</w:t>
      </w:r>
      <w:r>
        <w:t xml:space="preserve">. Nigeria’s agro-ecological gradient — from arid Sahel (Kano 404 mm) to humid delta (Port Harcourt 1,891 mm) — motivates three pre-registered hypotheses</w:t>
      </w:r>
      <w:r>
        <w:t xml:space="preserve"> </w:t>
      </w:r>
      <w:r>
        <w:t xml:space="preserve">(</w:t>
      </w:r>
      <w:r>
        <w:t xml:space="preserve">Muhammed et al.</w:t>
      </w:r>
      <w:r>
        <w:t xml:space="preserve"> </w:t>
      </w:r>
      <w:r>
        <w:t xml:space="preserve">2022;</w:t>
      </w:r>
      <w:r>
        <w:t xml:space="preserve"> </w:t>
      </w:r>
      <w:r>
        <w:t xml:space="preserve">Arowolo et al.</w:t>
      </w:r>
      <w:r>
        <w:t xml:space="preserve"> </w:t>
      </w:r>
      <w:r>
        <w:t xml:space="preserve">2023;</w:t>
      </w:r>
      <w:r>
        <w:t xml:space="preserve"> </w:t>
      </w:r>
      <w:r>
        <w:t xml:space="preserve">Ogundele et al.</w:t>
      </w:r>
      <w:r>
        <w:t xml:space="preserve"> </w:t>
      </w:r>
      <w:r>
        <w:t xml:space="preserve">2023)</w:t>
      </w:r>
      <w:r>
        <w:t xml:space="preserve">. H1 posits that urban-agriculture density is spatially clustered, implying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Eq.</w:t>
      </w:r>
      <w:r>
        <w:t xml:space="preserve"> </w:t>
      </w:r>
      <w:hyperlink w:anchor="eq-mora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warranting spatial rather than ordinary regression. H2 posits that density increases with aridity: lower annual precipitation and higher temperature enhance the relative value of irrigated fadama and therefore allotment intensity. H3 posits a scale effect: density declines with LGA area because larger administrative units dilute point intensity, implying a negative coefficient on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area</m:t>
        </m:r>
        <m:r>
          <m:rPr>
            <m:sty m:val="p"/>
          </m:rPr>
          <m:t>)</m:t>
        </m:r>
      </m:oMath>
      <w:r>
        <w:t xml:space="preserve"> </w:t>
      </w:r>
      <w:r>
        <w:t xml:space="preserve">in Eqs.</w:t>
      </w:r>
      <w:r>
        <w:t xml:space="preserve"> </w:t>
      </w:r>
      <w:hyperlink w:anchor="eq-lag">
        <w:r>
          <w:rPr>
            <w:rStyle w:val="Hyperlink"/>
          </w:rPr>
          <w:t xml:space="preserve">Equation 4</w:t>
        </w:r>
      </w:hyperlink>
      <w:r>
        <w:t xml:space="preserve">–</w:t>
      </w:r>
      <w:hyperlink w:anchor="eq-error">
        <w:r>
          <w:rPr>
            <w:rStyle w:val="Hyperlink"/>
          </w:rPr>
          <w:t xml:space="preserve">Equation 5</w:t>
        </w:r>
      </w:hyperlink>
      <w:r>
        <w:t xml:space="preserve">.</w:t>
      </w:r>
    </w:p>
    <w:bookmarkEnd w:id="13"/>
    <w:bookmarkStart w:id="14" w:name="spatial-descriptive"/>
    <w:p>
      <w:pPr>
        <w:pStyle w:val="Heading2"/>
      </w:pPr>
      <w:r>
        <w:t xml:space="preserve">3.2 Spatial descriptive</w:t>
      </w:r>
    </w:p>
    <w:p>
      <w:pPr>
        <w:pStyle w:val="FirstParagraph"/>
      </w:pPr>
      <w:r>
        <w:t xml:space="preserve">Density</w:t>
      </w:r>
      <w:r>
        <w:t xml:space="preserve"> </w:t>
      </w:r>
      <m:oMath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area</m:t>
            </m:r>
          </m:e>
          <m:sub>
            <m:r>
              <m:t>k</m:t>
            </m:r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nor/>
                <m:sty m:val="p"/>
              </m:rPr>
              <m:t>area</m:t>
            </m:r>
          </m:e>
          <m:sub>
            <m:r>
              <m:t>k</m:t>
            </m:r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=</m:t>
        </m:r>
        <m:r>
          <m:rPr>
            <m:nor/>
            <m:sty m:val="p"/>
          </m:rPr>
          <m:t>st_area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(</w:t>
      </w:r>
      <w:r>
        <w:rPr>
          <w:rStyle w:val="VerbatimChar"/>
        </w:rPr>
        <w:t xml:space="preserve">sf</w:t>
      </w:r>
      <w:r>
        <w:t xml:space="preserve"> </w:t>
      </w:r>
      <w:r>
        <w:t xml:space="preserve">GEOS) corrects ten-fold LGA variation (11.6–10,358 km², median 697 km²);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rises 0.158→0.300 upon normalisation (§Results). Kernel/G(r) omitted for page limit.</w:t>
      </w:r>
    </w:p>
    <w:bookmarkEnd w:id="14"/>
    <w:bookmarkStart w:id="18" w:name="spatial-dependence-formal-tests"/>
    <w:p>
      <w:pPr>
        <w:pStyle w:val="Heading2"/>
      </w:pPr>
      <w:r>
        <w:t xml:space="preserve">3.3 Spatial dependence — formal tests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"/>
          </m:rP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density (or counts)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775</m:t>
        </m:r>
      </m:oMath>
      <w:r>
        <w:t xml:space="preserve"> </w:t>
      </w:r>
      <w:r>
        <w:t xml:space="preserve">LGAs,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its mean,</w:t>
      </w:r>
      <w: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b"/>
          </m:rPr>
          <m:t>W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the queen contiguity matrix row-standardised.</w:t>
      </w:r>
    </w:p>
    <w:p>
      <w:pPr>
        <w:pStyle w:val="BodyText"/>
      </w:pPr>
      <w:r>
        <w:rPr>
          <w:b/>
          <w:bCs/>
        </w:rPr>
        <w:t xml:space="preserve">Weight matrix</w:t>
      </w:r>
      <w:r>
        <w:t xml:space="preserve"> </w:t>
      </w:r>
      <w:r>
        <w:t xml:space="preserve">(Eq.</w:t>
      </w:r>
      <w:r>
        <w:t xml:space="preserve"> </w:t>
      </w:r>
      <w:hyperlink w:anchor="eq-w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w:bookmarkStart w:id="15" w:name="eq-w"/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LGAs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share edge or vertex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Sup>
            <m:e>
              <m:r>
                <m:t>w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/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Queen versus rook</w:t>
      </w:r>
      <w:r>
        <w:t xml:space="preserve"> </w:t>
      </w:r>
      <m:oMath>
        <m:r>
          <m:rPr>
            <m:sty m:val="b"/>
          </m:rPr>
          <m:t>W</m:t>
        </m:r>
      </m:oMath>
      <w:r>
        <w:t xml:space="preserve"> </w:t>
      </w:r>
      <w:r>
        <w:t xml:space="preserve">yields</w:t>
      </w:r>
      <w:r>
        <w:t xml:space="preserve"> </w:t>
      </w:r>
      <m:oMath>
        <m:sSub>
          <m:e>
            <m:r>
              <m:t>I</m:t>
            </m:r>
          </m:e>
          <m:sub>
            <m:r>
              <m:t>d</m:t>
            </m:r>
            <m:r>
              <m:t>e</m:t>
            </m:r>
            <m:r>
              <m:t>n</m:t>
            </m:r>
            <m:r>
              <m:t>s</m:t>
            </m:r>
            <m:r>
              <m:t>i</m:t>
            </m:r>
            <m:r>
              <m:t>t</m:t>
            </m:r>
            <m:r>
              <m:t>y</m:t>
            </m:r>
          </m:sub>
        </m:sSub>
        <m:r>
          <m:rPr>
            <m:sty m:val="p"/>
          </m:rPr>
          <m:t>=</m:t>
        </m:r>
        <m:r>
          <m:t>0.300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0.306</m:t>
        </m:r>
      </m:oMath>
      <w:r>
        <w:t xml:space="preserve"> </w:t>
      </w:r>
      <w:r>
        <w:t xml:space="preserve">(both</w:t>
      </w:r>
      <w:r>
        <w:t xml:space="preserve"> </w:t>
      </w:r>
      <m:oMath>
        <m:r>
          <m:t>z</m:t>
        </m:r>
        <m:r>
          <m:rPr>
            <m:sty m:val="p"/>
          </m:rPr>
          <m:t>&gt;</m:t>
        </m:r>
        <m:r>
          <m:t>17.5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), confirming robustness to diagonal neighbours.</w:t>
      </w:r>
    </w:p>
    <w:p>
      <w:pPr>
        <w:pStyle w:val="BodyText"/>
      </w:pPr>
      <w:r>
        <w:rPr>
          <w:b/>
          <w:bCs/>
        </w:rPr>
        <w:t xml:space="preserve">Global Moran’s I</w:t>
      </w:r>
      <w:r>
        <w:t xml:space="preserve"> </w:t>
      </w:r>
      <w:r>
        <w:t xml:space="preserve">(Moran 1950; Cliff and Ord 1981)</w:t>
      </w:r>
      <w:r>
        <w:t xml:space="preserve"> </w:t>
      </w:r>
      <w:r>
        <w:t xml:space="preserve">(Eq.</w:t>
      </w:r>
      <w:r>
        <w:t xml:space="preserve"> </w:t>
      </w:r>
      <w:hyperlink w:anchor="eq-moran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w:bookmarkStart w:id="16" w:name="eq-moran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W</m:t>
              </m:r>
            </m:den>
          </m:f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w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</m:e>
                  </m:nary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r>
            <m:t>E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I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I</m:t>
              </m:r>
              <m:r>
                <m:rPr>
                  <m:sty m:val="p"/>
                </m:rPr>
                <m:t>]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nor/>
                      <m:sty m:val="p"/>
                    </m:rPr>
                    <m:t>Var</m:t>
                  </m:r>
                  <m:r>
                    <m:rPr>
                      <m:sty m:val="p"/>
                    </m:rPr>
                    <m:t>[</m:t>
                  </m:r>
                  <m:r>
                    <m:t>I</m:t>
                  </m:r>
                  <m:r>
                    <m:rPr>
                      <m:sty m:val="p"/>
                    </m:rPr>
                    <m:t>]</m:t>
                  </m:r>
                </m:e>
              </m:rad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6"/>
    </w:p>
    <w:p>
      <w:pPr>
        <w:pStyle w:val="FirstParagraph"/>
      </w:pPr>
      <w:r>
        <w:t xml:space="preserve">Tested with</w:t>
      </w:r>
      <w:r>
        <w:t xml:space="preserve"> </w:t>
      </w:r>
      <w:r>
        <w:rPr>
          <w:rStyle w:val="VerbatimChar"/>
        </w:rPr>
        <w:t xml:space="preserve">spdep::moran.test</w:t>
      </w:r>
      <w:r>
        <w:t xml:space="preserve"> </w:t>
      </w:r>
      <w:r>
        <w:t xml:space="preserve">(randomisation,</w:t>
      </w:r>
      <w:r>
        <w:t xml:space="preserve"> </w:t>
      </w:r>
      <w:r>
        <w:rPr>
          <w:rStyle w:val="VerbatimChar"/>
        </w:rPr>
        <w:t xml:space="preserve">zero.policy=TRUE</w:t>
      </w:r>
      <w:r>
        <w:t xml:space="preserve">) and variance under randomisation. Rejection 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implies clustering beyond complete spatial randomness (CSR) and motivates spatial regression</w:t>
      </w:r>
      <w:r>
        <w:t xml:space="preserve"> </w:t>
      </w:r>
      <w:r>
        <w:t xml:space="preserve">(Anselin 1995; Bivand and Wong 2022)</w:t>
      </w:r>
      <w:r>
        <w:t xml:space="preserve"> </w:t>
      </w:r>
      <w:r>
        <w:t xml:space="preserve">(see Eq.</w:t>
      </w:r>
      <w:r>
        <w:t xml:space="preserve"> </w:t>
      </w:r>
      <w:hyperlink w:anchor="eq-lag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 Eq.</w:t>
      </w:r>
      <w:r>
        <w:t xml:space="preserve"> </w:t>
      </w:r>
      <w:hyperlink w:anchor="eq-error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LISA</w:t>
      </w:r>
      <w:r>
        <w:t xml:space="preserve"> </w:t>
      </w:r>
      <w:r>
        <w:t xml:space="preserve">(Local Moran, Eq.</w:t>
      </w:r>
      <w:r>
        <w:t xml:space="preserve"> </w:t>
      </w:r>
      <w:hyperlink w:anchor="eq-lisa">
        <w:r>
          <w:rPr>
            <w:rStyle w:val="Hyperlink"/>
          </w:rPr>
          <w:t xml:space="preserve">Equation 3</w:t>
        </w:r>
      </w:hyperlink>
      <w:r>
        <w:t xml:space="preserve">):</w:t>
      </w:r>
    </w:p>
    <w:p>
      <w:pPr>
        <w:pStyle w:val="BodyText"/>
      </w:pPr>
      <w:bookmarkStart w:id="17" w:name="eq-lisa"/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rPr>
          <w:rStyle w:val="VerbatimChar"/>
        </w:rPr>
        <w:t xml:space="preserve">spdep::localmoran</w:t>
      </w:r>
      <w:r>
        <w:t xml:space="preserve"> </w:t>
      </w:r>
      <w:r>
        <w:t xml:space="preserve">yields</w:t>
      </w:r>
      <w:r>
        <w:t xml:space="preserve"> </w:t>
      </w:r>
      <m:oMath>
        <m:sSub>
          <m:e>
            <m:r>
              <m:t>I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; quadrants HH/LL/HL/LH are classified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lag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acc>
          <m:accPr>
            <m:chr m:val="‾"/>
          </m:accPr>
          <m:e>
            <m:r>
              <m:rPr>
                <m:nor/>
                <m:sty m:val="p"/>
              </m:rPr>
              <m:t>lag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etc. only when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0.05</m:t>
        </m:r>
      </m:oMath>
      <w:r>
        <w:t xml:space="preserve">, mapping Eq.</w:t>
      </w:r>
      <w:r>
        <w:t xml:space="preserve"> </w:t>
      </w:r>
      <w:hyperlink w:anchor="eq-lisa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to HH/LL clusters in Fig.</w:t>
      </w:r>
      <w:r>
        <w:t xml:space="preserve"> </w:t>
      </w:r>
      <w:hyperlink w:anchor="fig-lisa">
        <w:r>
          <w:rPr>
            <w:rStyle w:val="Hyperlink"/>
          </w:rPr>
          <w:t xml:space="preserve">Figure 2</w:t>
        </w:r>
      </w:hyperlink>
      <w:r>
        <w:t xml:space="preserve">.</w:t>
      </w:r>
    </w:p>
    <w:bookmarkEnd w:id="18"/>
    <w:bookmarkStart w:id="21" w:name="spatial-regression"/>
    <w:p>
      <w:pPr>
        <w:pStyle w:val="Heading2"/>
      </w:pPr>
      <w:r>
        <w:t xml:space="preserve">3.4 Spatial regression</w:t>
      </w:r>
    </w:p>
    <w:p>
      <w:pPr>
        <w:pStyle w:val="FirstParagraph"/>
      </w:pPr>
      <w:r>
        <w:t xml:space="preserve">Conditional on H1, OLS is biased (residuals remain spatially autocorrelated, violating Gauss–Markov). We therefore specify lag and error models (</w:t>
      </w:r>
      <w:r>
        <w:rPr>
          <w:rStyle w:val="VerbatimChar"/>
        </w:rPr>
        <w:t xml:space="preserve">spatialreg</w:t>
      </w:r>
      <w:r>
        <w:t xml:space="preserve"> </w:t>
      </w:r>
      <w:r>
        <w:t xml:space="preserve">1.4.3</w:t>
      </w:r>
      <w:r>
        <w:t xml:space="preserve"> </w:t>
      </w:r>
      <w:r>
        <w:t xml:space="preserve">(Bivand et al. 2023)</w:t>
      </w:r>
      <w:r>
        <w:t xml:space="preserve">) for comparison:</w:t>
      </w:r>
    </w:p>
    <w:p>
      <w:pPr>
        <w:pStyle w:val="BodyText"/>
      </w:pPr>
      <w:bookmarkStart w:id="19" w:name="eq-lag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ρ</m:t>
          </m:r>
          <m:r>
            <m:rPr>
              <m:sty m:val="b"/>
            </m:rPr>
            <m:t>W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t>β</m:t>
          </m:r>
          <m:r>
            <m:rPr>
              <m:sty m:val="p"/>
            </m:rPr>
            <m:t>+</m:t>
          </m:r>
          <m:r>
            <m:t>ε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Eq.</w:t>
      </w:r>
      <w:r>
        <w:t xml:space="preserve"> </w:t>
      </w:r>
      <w:hyperlink w:anchor="eq-lag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is the spatial lag (spillover: neighbours’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 affects</w:t>
      </w:r>
      <w:r>
        <w:t xml:space="preserve"> </w:t>
      </w:r>
      <m:oMath>
        <m:r>
          <m:t>y</m:t>
        </m:r>
      </m:oMath>
      <w:r>
        <w:t xml:space="preserve">).</w:t>
      </w:r>
    </w:p>
    <w:p>
      <w:pPr>
        <w:pStyle w:val="BodyText"/>
      </w:pPr>
      <w:bookmarkStart w:id="20" w:name="eq-error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t>β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,</m:t>
          </m:r>
          <m:r>
            <m:t> </m:t>
          </m:r>
          <m:r>
            <m:t>u</m:t>
          </m:r>
          <m:r>
            <m:rPr>
              <m:sty m:val="p"/>
            </m:rPr>
            <m:t>=</m:t>
          </m:r>
          <m:r>
            <m:t>λ</m:t>
          </m:r>
          <m:r>
            <m:rPr>
              <m:sty m:val="b"/>
            </m:rPr>
            <m:t>W</m:t>
          </m:r>
          <m:r>
            <m:t>u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,</m:t>
          </m:r>
          <m:r>
            <m:t> </m:t>
          </m:r>
          <m:r>
            <m:t>ε</m:t>
          </m:r>
          <m:r>
            <m:rPr>
              <m:sty m:val="p"/>
            </m:rPr>
            <m:t>∼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I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Eq.</w:t>
      </w:r>
      <w:r>
        <w:t xml:space="preserve"> </w:t>
      </w:r>
      <w:hyperlink w:anchor="eq-error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spatial error (captures omitted spatially-structured covariates). Proposed specification, conditional on data availability, is</w:t>
      </w:r>
      <w:r>
        <w:t xml:space="preserve"> </w:t>
      </w:r>
      <w:r>
        <w:rPr>
          <w:rStyle w:val="VerbatimChar"/>
        </w:rPr>
        <w:t xml:space="preserve">density ~ log(area_km2) + PRECTOT_sum + T2M_mean</w:t>
      </w:r>
      <w:r>
        <w:t xml:space="preserve"> </w:t>
      </w:r>
      <w:r>
        <w:t xml:space="preserve">(city-level climate as LGA proxy until DHS/NLSS subnational undernourishment is joined</w:t>
      </w:r>
      <w:r>
        <w:t xml:space="preserve"> </w:t>
      </w:r>
      <w:r>
        <w:t xml:space="preserve">(</w:t>
      </w:r>
      <w:r>
        <w:t xml:space="preserve">Adeleye et al.</w:t>
      </w:r>
      <w:r>
        <w:t xml:space="preserve"> </w:t>
      </w:r>
      <w:r>
        <w:t xml:space="preserve">2024)</w:t>
      </w:r>
      <w:r>
        <w:t xml:space="preserve">). Selection follows AIC, likelihood-ratio</w:t>
      </w:r>
      <w:r>
        <w:t xml:space="preserve"> </w:t>
      </w:r>
      <m:oMath>
        <m:r>
          <m:t>L</m:t>
        </m:r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l</m:t>
            </m:r>
            <m:r>
              <m:t>a</m:t>
            </m:r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O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)</m:t>
        </m:r>
      </m:oMath>
      <w:r>
        <w:t xml:space="preserve">, and Lagrange Multiplier diagnostics</w:t>
      </w:r>
      <w:r>
        <w:t xml:space="preserve"> </w:t>
      </w:r>
      <m:oMath>
        <m:r>
          <m:t>L</m:t>
        </m:r>
        <m:sSub>
          <m:e>
            <m:r>
              <m:t>M</m:t>
            </m:r>
          </m:e>
          <m:sub>
            <m:r>
              <m:t>l</m:t>
            </m:r>
            <m:r>
              <m:t>a</m:t>
            </m:r>
            <m:r>
              <m:t>g</m:t>
            </m:r>
          </m:sub>
        </m:sSub>
      </m:oMath>
      <w:r>
        <w:t xml:space="preserve"> </w:t>
      </w:r>
      <w:r>
        <w:t xml:space="preserve">vs</w:t>
      </w:r>
      <w:r>
        <w:t xml:space="preserve"> </w:t>
      </w:r>
      <m:oMath>
        <m:r>
          <m:t>L</m:t>
        </m:r>
        <m:sSub>
          <m:e>
            <m:r>
              <m:t>M</m:t>
            </m:r>
          </m:e>
          <m:sub>
            <m:r>
              <m:t>e</m:t>
            </m:r>
            <m:r>
              <m:t>r</m:t>
            </m:r>
            <m:r>
              <m:t>r</m:t>
            </m:r>
            <m:r>
              <m:t>o</m:t>
            </m:r>
            <m:r>
              <m:t>r</m:t>
            </m:r>
          </m:sub>
        </m:sSub>
      </m:oMath>
      <w:r>
        <w:t xml:space="preserve"> </w:t>
      </w:r>
      <w:r>
        <w:t xml:space="preserve">and robust</w:t>
      </w:r>
      <w:r>
        <w:t xml:space="preserve"> </w:t>
      </w:r>
      <m:oMath>
        <m:r>
          <m:t>R</m:t>
        </m:r>
        <m:r>
          <m:t>L</m:t>
        </m:r>
        <m:sSub>
          <m:e>
            <m:r>
              <m:t>M</m:t>
            </m:r>
          </m:e>
          <m:sub>
            <m:r>
              <m:t>l</m:t>
            </m:r>
            <m:r>
              <m:t>a</m:t>
            </m:r>
            <m:r>
              <m:t>g</m:t>
            </m:r>
            <m:r>
              <m:rPr>
                <m:sty m:val="p"/>
              </m:rPr>
              <m:t>/</m:t>
            </m:r>
            <m:r>
              <m:t>e</m:t>
            </m:r>
            <m:r>
              <m:t>r</m:t>
            </m:r>
            <m:r>
              <m:t>r</m:t>
            </m:r>
            <m:r>
              <m:t>o</m:t>
            </m:r>
            <m:r>
              <m:t>r</m:t>
            </m:r>
          </m:sub>
        </m:sSub>
      </m:oMath>
      <w:r>
        <w:t xml:space="preserve">; residual Moran’s I is reported for each fitted model.</w:t>
      </w:r>
    </w:p>
    <w:bookmarkEnd w:id="21"/>
    <w:bookmarkStart w:id="22" w:name="suitability-overlay"/>
    <w:p>
      <w:pPr>
        <w:pStyle w:val="Heading2"/>
      </w:pPr>
      <w:r>
        <w:t xml:space="preserve">3.5 Suitability overlay</w:t>
      </w:r>
    </w:p>
    <w:p>
      <w:pPr>
        <w:pStyle w:val="FirstParagraph"/>
      </w:pPr>
      <w:r>
        <w:t xml:space="preserve">Suitability overlay (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1.7</w:t>
      </w:r>
      <w:r>
        <w:t xml:space="preserve"> </w:t>
      </w:r>
      <w:r>
        <w:t xml:space="preserve">(Hijmans 2023; Anand and Bhat 2021)</w:t>
      </w:r>
      <w:r>
        <w:t xml:space="preserve">) on market/water proximity and unbuilt land will prioritise HH LGAs (Eq.</w:t>
      </w:r>
      <w:r>
        <w:t xml:space="preserve"> </w:t>
      </w:r>
      <w:hyperlink w:anchor="eq-lisa">
        <w:r>
          <w:rPr>
            <w:rStyle w:val="Hyperlink"/>
          </w:rPr>
          <w:t xml:space="preserve">Equation 3</w:t>
        </w:r>
      </w:hyperlink>
      <w:r>
        <w:t xml:space="preserve">) — staged as future work to remain within 12 pp.</w:t>
      </w:r>
    </w:p>
    <w:p>
      <w:pPr>
        <w:pStyle w:val="BodyText"/>
      </w:pPr>
      <w:r>
        <w:rPr>
          <w:i/>
          <w:iCs/>
        </w:rPr>
        <w:t xml:space="preserve">Environment:</w:t>
      </w:r>
      <w:r>
        <w:t xml:space="preserve"> </w:t>
      </w:r>
      <w:r>
        <w:t xml:space="preserve">R 4.5.2 (</w:t>
      </w:r>
      <w:r>
        <w:rPr>
          <w:rStyle w:val="VerbatimChar"/>
        </w:rPr>
        <w:t xml:space="preserve">sf</w:t>
      </w:r>
      <w:r>
        <w:t xml:space="preserve"> </w:t>
      </w:r>
      <w:r>
        <w:t xml:space="preserve">1.1.2 GEOS 3.14.1/GDAL 3.12.1/PROJ 9.7.1,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1.9.46,</w:t>
      </w:r>
      <w:r>
        <w:t xml:space="preserve"> </w:t>
      </w:r>
      <w:r>
        <w:rPr>
          <w:rStyle w:val="VerbatimChar"/>
        </w:rPr>
        <w:t xml:space="preserve">spdep</w:t>
      </w:r>
      <w:r>
        <w:t xml:space="preserve"> </w:t>
      </w:r>
      <w:r>
        <w:t xml:space="preserve">1.4.2,</w:t>
      </w:r>
      <w:r>
        <w:t xml:space="preserve"> </w:t>
      </w:r>
      <w:r>
        <w:rPr>
          <w:rStyle w:val="VerbatimChar"/>
        </w:rPr>
        <w:t xml:space="preserve">spatialreg</w:t>
      </w:r>
      <w:r>
        <w:t xml:space="preserve"> </w:t>
      </w:r>
      <w:r>
        <w:t xml:space="preserve">1.4.3); Python</w:t>
      </w:r>
      <w:r>
        <w:t xml:space="preserve"> </w:t>
      </w:r>
      <w:r>
        <w:rPr>
          <w:rStyle w:val="VerbatimChar"/>
        </w:rPr>
        <w:t xml:space="preserve">ds-general</w:t>
      </w:r>
      <w:r>
        <w:t xml:space="preserve"> </w:t>
      </w:r>
      <w:r>
        <w:t xml:space="preserve">3.12; Quarto 1.9.38 / Pandoc 3.8.3. Seeds set;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16 entries.</w:t>
      </w:r>
    </w:p>
    <w:bookmarkEnd w:id="22"/>
    <w:bookmarkEnd w:id="23"/>
    <w:bookmarkStart w:id="54" w:name="results"/>
    <w:p>
      <w:pPr>
        <w:pStyle w:val="Heading1"/>
      </w:pPr>
      <w:r>
        <w:t xml:space="preserve">4. Results</w:t>
      </w:r>
    </w:p>
    <w:bookmarkStart w:id="36" w:name="X347cef842ef5ce1af5f6de2f0b207d89c3da5bf"/>
    <w:p>
      <w:pPr>
        <w:pStyle w:val="Heading2"/>
      </w:pPr>
      <w:r>
        <w:t xml:space="preserve">4.1 Urban agriculture footprints (OSM Overpass, frozen 25 Aug 2026)</w:t>
      </w:r>
    </w:p>
    <w:p>
      <w:pPr>
        <w:pStyle w:val="FirstParagraph"/>
      </w:pPr>
      <w:r>
        <w:t xml:space="preserve">A total of 484 footprints were retrieved via per-tag Overpass queries for</w:t>
      </w:r>
      <w:r>
        <w:t xml:space="preserve"> </w:t>
      </w:r>
      <w:r>
        <w:rPr>
          <w:rStyle w:val="VerbatimChar"/>
        </w:rPr>
        <w:t xml:space="preserve">landuse</w:t>
      </w:r>
      <w:r>
        <w:t xml:space="preserve"> </w:t>
      </w:r>
      <w:r>
        <w:t xml:space="preserve">allotments/farmland/farmyard and</w:t>
      </w:r>
      <w:r>
        <w:t xml:space="preserve"> </w:t>
      </w:r>
      <w:r>
        <w:rPr>
          <w:rStyle w:val="VerbatimChar"/>
        </w:rPr>
        <w:t xml:space="preserve">leisure</w:t>
      </w:r>
      <w:r>
        <w:t xml:space="preserve"> </w:t>
      </w:r>
      <w:r>
        <w:t xml:space="preserve">garden, with three fallback endpoints and deduplication by</w:t>
      </w:r>
      <w:r>
        <w:t xml:space="preserve"> </w:t>
      </w:r>
      <w:r>
        <w:rPr>
          <w:rStyle w:val="VerbatimChar"/>
        </w:rPr>
        <w:t xml:space="preserve">type+id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ODbL, 5 city entries plus 3 zero-row retries capturing the 406→504 mitigation). City totals — Kano 189 (39.0%), Lagos 130 (26.9%), Port Harcourt 88 (18.2%), Gombe 45 (9.3%), Abuja 32 (6.6%) — reveal heterogeneity beyond city area. At LGA scale (775 LGAs), only</w:t>
      </w:r>
      <w:r>
        <w:t xml:space="preserve"> </w:t>
      </w:r>
      <w:r>
        <w:rPr>
          <w:b/>
          <w:bCs/>
        </w:rPr>
        <w:t xml:space="preserve">39 (5.0%)</w:t>
      </w:r>
      <w:r>
        <w:t xml:space="preserve"> </w:t>
      </w:r>
      <w:r>
        <w:t xml:space="preserve">contain ≥1 point and are highly concentrated: Ungogo 90, Obio/Akpor 64, Ikorodu 53, Akko 45, Tarauni 25 etc. (61% of points). Maximum density is</w:t>
      </w:r>
      <w:r>
        <w:t xml:space="preserve"> </w:t>
      </w:r>
      <w:r>
        <w:rPr>
          <w:b/>
          <w:bCs/>
        </w:rPr>
        <w:t xml:space="preserve">1.06 km⁻²</w:t>
      </w:r>
      <w:r>
        <w:t xml:space="preserve"> </w:t>
      </w:r>
      <w:r>
        <w:t xml:space="preserve">(Tarauni), median 0. Completeness varies (Kano highest, Abuja lowest), mitigated by density normalisation and planned Kano-excluded sensitivity</w:t>
      </w:r>
      <w:r>
        <w:t xml:space="preserve"> </w:t>
      </w:r>
      <w:r>
        <w:t xml:space="preserve">(</w:t>
      </w:r>
      <w:r>
        <w:t xml:space="preserve">Ogundele et al.</w:t>
      </w:r>
      <w:r>
        <w:t xml:space="preserve"> </w:t>
      </w:r>
      <w:r>
        <w:t xml:space="preserve">2023)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1. OSM urban-agriculture points by city (frozen).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  <w:r>
              <w:t xml:space="preserve">Top LGA 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39.0</w:t>
            </w:r>
          </w:p>
        </w:tc>
        <w:tc>
          <w:tcPr/>
          <w:p>
            <w:pPr>
              <w:pStyle w:val="Compact"/>
            </w:pPr>
            <w:r>
              <w:t xml:space="preserve">Ungogo 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26.9</w:t>
            </w:r>
          </w:p>
        </w:tc>
        <w:tc>
          <w:tcPr/>
          <w:p>
            <w:pPr>
              <w:pStyle w:val="Compact"/>
            </w:pPr>
            <w:r>
              <w:t xml:space="preserve">Ikorodu 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 Harcourt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18.2</w:t>
            </w:r>
          </w:p>
        </w:tc>
        <w:tc>
          <w:tcPr/>
          <w:p>
            <w:pPr>
              <w:pStyle w:val="Compact"/>
            </w:pPr>
            <w:r>
              <w:t xml:space="preserve">Obio/Akpor 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Gombe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</w:t>
            </w:r>
          </w:p>
        </w:tc>
        <w:tc>
          <w:tcPr/>
          <w:p>
            <w:pPr>
              <w:pStyle w:val="Compact"/>
            </w:pPr>
            <w:r>
              <w:t xml:space="preserve">Akko 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Abuja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</w:t>
            </w:r>
          </w:p>
        </w:tc>
        <w:tc>
          <w:tcPr/>
          <w:p>
            <w:pPr>
              <w:pStyle w:val="Compact"/>
            </w:pPr>
            <w:r>
              <w:t xml:space="preserve">Abuja Municipal 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39 LGAs with ≥1 point (5.0%)</w:t>
            </w:r>
          </w:p>
        </w:tc>
      </w:tr>
    </w:tbl>
    <w:p>
      <w:pPr>
        <w:pStyle w:val="BodyText"/>
      </w:pPr>
      <w:r>
        <w:rPr>
          <w:i/>
          <w:iCs/>
        </w:rPr>
        <w:t xml:space="preserve">Source: OSM Overpass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data/raw/osm_urban_ag.csv</w:t>
      </w:r>
      <w:r>
        <w:rPr>
          <w:i/>
          <w:iCs/>
        </w:rPr>
        <w:t xml:space="preserve"> </w:t>
      </w:r>
      <w:r>
        <w:rPr>
          <w:i/>
          <w:iCs/>
        </w:rPr>
        <w:t xml:space="preserve">(484 rows), GADM 4.1 LGA join (</w:t>
      </w:r>
      <w:r>
        <w:rPr>
          <w:rStyle w:val="VerbatimChar"/>
          <w:i/>
          <w:iCs/>
        </w:rPr>
        <w:t xml:space="preserve">results/lga_lisa.gpkg</w:t>
      </w:r>
      <w:r>
        <w:rPr>
          <w:i/>
          <w:iCs/>
        </w:rP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osm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osm_points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Figure 1. Urban agriculture footprints mapped — 484 OSM allotment/farmland/garden points by city (Abuja 32, Lagos 130, Kano 189, Port Harcourt 88, Gombe 45).</w:t>
            </w:r>
          </w:p>
          <w:bookmarkEnd w:id="27"/>
        </w:tc>
      </w:tr>
    </w:tbl>
    <w:p>
      <w:pPr>
        <w:pStyle w:val="BodyText"/>
      </w:pPr>
      <w:r>
        <w:t xml:space="preserve">Figure 1 shows the 484 points coloured by city; Kano’s concentration in the Sahelian north is visually distinct.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lisa"/>
          <w:p>
            <w:pPr>
              <w:pStyle w:val="Compact"/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lisa_ma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Figure 2. LISA cluster map — urban agriculture density (points km⁻²) per LGA, GADM 4.1 775 LGAs, queen contiguity, p&lt;0.05. HH (red) = high-high, LL (blue) = low-low, HL/LH outliers, grey = n.s.</w:t>
            </w:r>
          </w:p>
          <w:bookmarkEnd w:id="31"/>
        </w:tc>
      </w:tr>
    </w:tbl>
    <w:p>
      <w:pPr>
        <w:pStyle w:val="BodyText"/>
      </w:pPr>
      <w:r>
        <w:t xml:space="preserve">Figure 2 is the LISA density choropleth. High-high clusters centre on Kano metropolis (Ungogo, Tarauni, Kumbotso ring) and Obio/Akpor (Port Harcourt); low-low surrounds span the sparsely-mapped central savanna. HL/LH outliers are rare (&lt;10 LGAs).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hist"/>
          <w:p>
            <w:pPr>
              <w:pStyle w:val="Compact"/>
              <w:jc w:val="center"/>
            </w:pPr>
            <w:r>
              <w:drawing>
                <wp:inline>
                  <wp:extent cx="5029200" cy="2873828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density_his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29200" cy="28738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Figure 3. Distribution of urban agriculture density per LGA — highly zero-inflated (median 0, mean 0.62 points/LGA, 39 LGAs 5% with &gt;0 points; max 1.06 km⁻²).</w:t>
            </w:r>
          </w:p>
          <w:bookmarkEnd w:id="35"/>
        </w:tc>
      </w:tr>
    </w:tbl>
    <w:p>
      <w:pPr>
        <w:pStyle w:val="BodyText"/>
      </w:pPr>
      <w:r>
        <w:t xml:space="preserve">Figure 3 confirms zero-inflation; density normalisation by</w:t>
      </w:r>
      <w:r>
        <w:t xml:space="preserve"> </w:t>
      </w:r>
      <w:r>
        <w:rPr>
          <w:rStyle w:val="VerbatimChar"/>
        </w:rPr>
        <w:t xml:space="preserve">st_area</w:t>
      </w:r>
      <w:r>
        <w:t xml:space="preserve"> </w:t>
      </w:r>
      <w:r>
        <w:t xml:space="preserve">is therefore essential before spatial regression.</w:t>
      </w:r>
    </w:p>
    <w:bookmarkEnd w:id="36"/>
    <w:bookmarkStart w:id="37" w:name="climate-context-nasa-power-2023-daily"/>
    <w:p>
      <w:pPr>
        <w:pStyle w:val="Heading2"/>
      </w:pPr>
      <w:r>
        <w:t xml:space="preserve">4.2 Climate context (NASA POWER, 2023 daily)</w:t>
      </w:r>
    </w:p>
    <w:p>
      <w:pPr>
        <w:pStyle w:val="FirstParagraph"/>
      </w:pPr>
      <w:r>
        <w:t xml:space="preserve">Annual aggregates of two-metre air temperature (T2M), bias-corrected precipitation (PRECTOTCORR) and relative humidity (RH2M) were derived from NASA POWER’s Agroclimatology (AG) community daily point product</w:t>
      </w:r>
      <w:r>
        <w:t xml:space="preserve"> </w:t>
      </w:r>
      <w:r>
        <w:t xml:space="preserve">(</w:t>
      </w:r>
      <w:r>
        <w:t xml:space="preserve">Stackhouse et al.</w:t>
      </w:r>
      <w:r>
        <w:t xml:space="preserve"> </w:t>
      </w:r>
      <w:r>
        <w:t xml:space="preserve">2023; NASA 2024)</w:t>
      </w:r>
      <w:r>
        <w:t xml:space="preserve"> </w:t>
      </w:r>
      <w:r>
        <w:t xml:space="preserve">for the five city centroids (Table 2). The gradient is pronounced and statistically relevant for H2: mean temperature spans 25.9°C (Abuja) to 27.3°C (Kano) and annual rainfall 404 mm (Kano, arid) to 1,891 mm (Port Harcourt, humid), with relative humidity covarying accordingly (42.1% to 87.7%). These contrasts are retained as LGA-assigned covariates (via state) in the density–climate associations of §H2–H3 and the planned regression (Eqs.</w:t>
      </w:r>
      <w:r>
        <w:t xml:space="preserve"> </w:t>
      </w:r>
      <w:hyperlink w:anchor="eq-lag">
        <w:r>
          <w:rPr>
            <w:rStyle w:val="Hyperlink"/>
          </w:rPr>
          <w:t xml:space="preserve">Equation 4</w:t>
        </w:r>
      </w:hyperlink>
      <w:r>
        <w:t xml:space="preserve">–</w:t>
      </w:r>
      <w:hyperlink w:anchor="eq-error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Table 2. NASA POWER 2023 annual climate by city (</w:t>
      </w:r>
      <w:r>
        <w:rPr>
          <w:rStyle w:val="VerbatimChar"/>
          <w:b/>
          <w:bCs/>
        </w:rPr>
        <w:t xml:space="preserve">data/processed/nasa_annual.csv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T2M mean (°C)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PRECTOT sum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RH2M mean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Abuja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Gombe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 Harcourt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87.7</w:t>
            </w:r>
          </w:p>
        </w:tc>
      </w:tr>
    </w:tbl>
    <w:bookmarkEnd w:id="37"/>
    <w:bookmarkStart w:id="38" w:name="X144387b328a91905e766ccc557753a295d1a880"/>
    <w:p>
      <w:pPr>
        <w:pStyle w:val="Heading2"/>
      </w:pPr>
      <w:r>
        <w:t xml:space="preserve">4.3 World Bank national backdrop (frozen 25 Aug 2026)</w:t>
      </w:r>
    </w:p>
    <w:p>
      <w:pPr>
        <w:pStyle w:val="FirstParagraph"/>
      </w:pPr>
      <w:r>
        <w:t xml:space="preserve">National World Development Indicators provide contextual framing rather than LGA outcomes. The urban population (</w:t>
      </w:r>
      <w:r>
        <w:rPr>
          <w:rStyle w:val="VerbatimChar"/>
        </w:rPr>
        <w:t xml:space="preserve">SP.URB.TOTL</w:t>
      </w:r>
      <w:r>
        <w:t xml:space="preserve">) reached</w:t>
      </w:r>
      <w:r>
        <w:t xml:space="preserve"> </w:t>
      </w:r>
      <w:r>
        <w:rPr>
          <w:b/>
          <w:bCs/>
        </w:rPr>
        <w:t xml:space="preserve">146,531,222</w:t>
      </w:r>
      <w:r>
        <w:t xml:space="preserve"> </w:t>
      </w:r>
      <w:r>
        <w:t xml:space="preserve">in 2024, continuing the two-decade urbanisation trend noted in the Introduction</w:t>
      </w:r>
      <w:r>
        <w:t xml:space="preserve"> </w:t>
      </w:r>
      <w:r>
        <w:t xml:space="preserve">(World Bank 2024; UN DESA Population Division 2022)</w:t>
      </w:r>
      <w:r>
        <w:t xml:space="preserve">; the food production index (</w:t>
      </w:r>
      <w:r>
        <w:rPr>
          <w:rStyle w:val="VerbatimChar"/>
        </w:rPr>
        <w:t xml:space="preserve">AG.PRD.FOOD.XD</w:t>
      </w:r>
      <w:r>
        <w:t xml:space="preserve">) stood at</w:t>
      </w:r>
      <w:r>
        <w:t xml:space="preserve"> </w:t>
      </w:r>
      <w:r>
        <w:rPr>
          <w:b/>
          <w:bCs/>
        </w:rPr>
        <w:t xml:space="preserve">119.9</w:t>
      </w:r>
      <w:r>
        <w:t xml:space="preserve"> </w:t>
      </w:r>
      <w:r>
        <w:t xml:space="preserve">in 2022 (2004–06 = 100), indicating modest productivity growth; and the prevalence of undernourishment (</w:t>
      </w:r>
      <w:r>
        <w:rPr>
          <w:rStyle w:val="VerbatimChar"/>
        </w:rPr>
        <w:t xml:space="preserve">SN.ITK.DEFC.ZS</w:t>
      </w:r>
      <w:r>
        <w:t xml:space="preserve">) was</w:t>
      </w:r>
      <w:r>
        <w:t xml:space="preserve"> </w:t>
      </w:r>
      <w:r>
        <w:rPr>
          <w:b/>
          <w:bCs/>
        </w:rPr>
        <w:t xml:space="preserve">19.9%</w:t>
      </w:r>
      <w:r>
        <w:t xml:space="preserve"> </w:t>
      </w:r>
      <w:r>
        <w:t xml:space="preserve">in 2023 (</w:t>
      </w:r>
      <w:r>
        <w:rPr>
          <w:rStyle w:val="VerbatimChar"/>
        </w:rPr>
        <w:t xml:space="preserve">data/processed/worldbank_ng_wide.csv</w:t>
      </w:r>
      <w:r>
        <w:t xml:space="preserve">, 75 rows, 2000–2024, CC BY 4.0)</w:t>
      </w:r>
      <w:r>
        <w:t xml:space="preserve"> </w:t>
      </w:r>
      <w:r>
        <w:t xml:space="preserve">(World Bank 2023; FAO, IFAD, UNICEF, WFP and WHO 2023)</w:t>
      </w:r>
      <w:r>
        <w:t xml:space="preserve">. Because these series are national aggregates they cannot be joined to LGAs, a limitation that motivates reporting Moran’s I on density itself (Table 3) and flags the integration of DHS/NLSS subnational undernourishment as the immediate next step for a direct density–food-security regression</w:t>
      </w:r>
      <w:r>
        <w:t xml:space="preserve"> </w:t>
      </w:r>
      <w:r>
        <w:t xml:space="preserve">(</w:t>
      </w:r>
      <w:r>
        <w:t xml:space="preserve">Adeleye et al.</w:t>
      </w:r>
      <w:r>
        <w:t xml:space="preserve"> </w:t>
      </w:r>
      <w:r>
        <w:t xml:space="preserve">2024)</w:t>
      </w:r>
      <w:r>
        <w:t xml:space="preserve">.</w:t>
      </w:r>
    </w:p>
    <w:bookmarkEnd w:id="38"/>
    <w:bookmarkStart w:id="39" w:name="spatial-dependence"/>
    <w:p>
      <w:pPr>
        <w:pStyle w:val="Heading2"/>
      </w:pPr>
      <w:r>
        <w:t xml:space="preserve">4.4 Spatial dependence</w:t>
      </w:r>
    </w:p>
    <w:p>
      <w:pPr>
        <w:pStyle w:val="FirstParagraph"/>
      </w:pPr>
      <w:r>
        <w:t xml:space="preserve">Global Moran’s I was computed on queen-contiguity weights (</w:t>
      </w:r>
      <w:r>
        <w:rPr>
          <w:rStyle w:val="VerbatimChar"/>
        </w:rPr>
        <w:t xml:space="preserve">spdep::poly2nb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nb2listw</w:t>
      </w:r>
      <w:r>
        <w:t xml:space="preserve"> </w:t>
      </w:r>
      <w:r>
        <w:t xml:space="preserve">style W, zero.policy=TRUE) for 775 LGAs.</w:t>
      </w:r>
    </w:p>
    <w:p>
      <w:pPr>
        <w:pStyle w:val="BodyText"/>
      </w:pPr>
      <w:r>
        <w:rPr>
          <w:b/>
          <w:bCs/>
        </w:rPr>
        <w:t xml:space="preserve">Table 3. Global Moran’s I (775 LGAs, queen contiguity).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Moran 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(n km⁻²)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</w:tr>
    </w:tbl>
    <w:p>
      <w:pPr>
        <w:pStyle w:val="BodyText"/>
      </w:pPr>
      <w:r>
        <w:t xml:space="preserve">Density clustering exceeds counts, validating area normalisation. LISA HH centres on Kano metropolis and Obio/Akpor; LL spans sparsely-mapped savanna; HL/LH rare (&lt;10). Excluding Kano (</w:t>
      </w:r>
      <m:oMath>
        <m:r>
          <m:t>N</m:t>
        </m:r>
        <m:r>
          <m:rPr>
            <m:sty m:val="p"/>
          </m:rPr>
          <m:t>=</m:t>
        </m:r>
        <m:r>
          <m:t>731</m:t>
        </m:r>
      </m:oMath>
      <w:r>
        <w:t xml:space="preserve">) retains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0.274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16.3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 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area</m:t>
        </m:r>
        <m:r>
          <m:rPr>
            <m:sty m:val="p"/>
          </m:rPr>
          <m:t>)</m:t>
        </m:r>
      </m:oMath>
      <w:r>
        <w:t xml:space="preserve"> </w:t>
      </w:r>
      <m:oMath>
        <m:r>
          <m:rPr>
            <m:sty m:val="p"/>
          </m:rPr>
          <m:t>−</m:t>
        </m:r>
        <m:r>
          <m:t>0.0037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rPr>
            <m:sty m:val="p"/>
          </m:rPr>
          <m:t>−</m:t>
        </m:r>
        <m:r>
          <m:t>0.0086</m:t>
        </m:r>
      </m:oMath>
      <w:r>
        <w:t xml:space="preserve">), confirming H1/H3 are not Kano-driven. This justifies spatial regression.</w:t>
      </w:r>
    </w:p>
    <w:bookmarkEnd w:id="39"/>
    <w:bookmarkStart w:id="52" w:name="new-density-vs-climate-and-scale-h2h3"/>
    <w:p>
      <w:pPr>
        <w:pStyle w:val="Heading2"/>
      </w:pPr>
      <w:r>
        <w:t xml:space="preserve">4.5 New: density vs climate and scale (H2–H3)</w:t>
      </w:r>
    </w:p>
    <w:p>
      <w:pPr>
        <w:pStyle w:val="FirstParagraph"/>
      </w:pPr>
      <w:r>
        <w:t xml:space="preserve">For 39 LGAs with points we assigned city-level climate (34 mapped) and computed Spearman correlations. Rainfall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0.076</m:t>
        </m:r>
      </m:oMath>
      <w:r>
        <w:t xml:space="preserve">) and temperature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0.44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0.009</m:t>
        </m:r>
      </m:oMath>
      <w:r>
        <w:t xml:space="preserve">) indicate drier/hotter LGAs host higher density (H2; Kano 404 mm vs PH 1,891 mm)</w:t>
      </w:r>
      <w:r>
        <w:t xml:space="preserve"> </w:t>
      </w:r>
      <w:r>
        <w:t xml:space="preserve">(</w:t>
      </w:r>
      <w:r>
        <w:t xml:space="preserve">Arowolo et al.</w:t>
      </w:r>
      <w:r>
        <w:t xml:space="preserve"> </w:t>
      </w:r>
      <w:r>
        <w:t xml:space="preserve">2023)</w:t>
      </w:r>
      <w:r>
        <w:t xml:space="preserve">; area contrast Tarauni 23.6 km² 1.06 vs Ungogo 187 km² 0.48 supports scale effect H3 (Figs. 4–5).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density_vs_rainfall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Figure 4. Density vs annual rainfall — 34 LGAs with ≥1 point (Spearman</w:t>
            </w:r>
            <w: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0.31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0.076</m:t>
              </m:r>
            </m:oMath>
            <w:r>
              <w:t xml:space="preserve">). Colour by state; dashed = OLS fit. Higher density in drier Kano supports H2.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cor"/>
          <w:p>
            <w:pPr>
              <w:pStyle w:val="Compact"/>
              <w:jc w:val="center"/>
            </w:pPr>
            <w:r>
              <w:drawing>
                <wp:inline>
                  <wp:extent cx="4572000" cy="38100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climate_correlation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Figure 5. Spearman correlation matrix — density, PRECTOT_sum, T2M_mean, RH2M_mean (39 LGAs, ties).</w:t>
            </w:r>
          </w:p>
          <w:bookmarkEnd w:id="47"/>
        </w:tc>
      </w:tr>
    </w:tbl>
    <w:p>
      <w:pPr>
        <w:pStyle w:val="BodyText"/>
      </w:pPr>
      <w:r>
        <w:rPr>
          <w:b/>
          <w:bCs/>
        </w:rPr>
        <w:t xml:space="preserve">Table 4. Top-10 LGAs by density (km⁻²) — the high-intensity core (</w:t>
      </w:r>
      <w:r>
        <w:rPr>
          <w:rStyle w:val="VerbatimChar"/>
          <w:b/>
          <w:bCs/>
        </w:rPr>
        <w:t xml:space="preserve">results/top10_density.csv</w:t>
      </w:r>
      <w:r>
        <w:rPr>
          <w:b/>
          <w:bCs/>
        </w:rP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GID_2</w:t>
            </w:r>
          </w:p>
        </w:tc>
        <w:tc>
          <w:tcPr/>
          <w:p>
            <w:pPr>
              <w:pStyle w:val="Compact"/>
            </w:pPr>
            <w:r>
              <w:t xml:space="preserve">LGA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area km²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LISA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NGA.20.38_1</w:t>
            </w:r>
          </w:p>
        </w:tc>
        <w:tc>
          <w:tcPr/>
          <w:p>
            <w:pPr>
              <w:pStyle w:val="Compact"/>
            </w:pPr>
            <w:r>
              <w:t xml:space="preserve">Tarauni</w:t>
            </w:r>
          </w:p>
        </w:tc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NGA.25.19_1</w:t>
            </w:r>
          </w:p>
        </w:tc>
        <w:tc>
          <w:tcPr/>
          <w:p>
            <w:pPr>
              <w:pStyle w:val="Compact"/>
            </w:pPr>
            <w:r>
              <w:t xml:space="preserve">Shomolu</w:t>
            </w:r>
          </w:p>
        </w:tc>
        <w:tc>
          <w:tcPr/>
          <w:p>
            <w:pPr>
              <w:pStyle w:val="Compact"/>
            </w:pPr>
            <w:r>
              <w:t xml:space="preserve">Lagos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NGA.20.42_1</w:t>
            </w:r>
          </w:p>
        </w:tc>
        <w:tc>
          <w:tcPr/>
          <w:p>
            <w:pPr>
              <w:pStyle w:val="Compact"/>
            </w:pPr>
            <w:r>
              <w:t xml:space="preserve">Ungogo</w:t>
            </w:r>
          </w:p>
        </w:tc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NGA.33.15_1</w:t>
            </w:r>
          </w:p>
        </w:tc>
        <w:tc>
          <w:tcPr/>
          <w:p>
            <w:pPr>
              <w:pStyle w:val="Compact"/>
            </w:pPr>
            <w:r>
              <w:t xml:space="preserve">Obio/Akpor</w:t>
            </w:r>
          </w:p>
        </w:tc>
        <w:tc>
          <w:tcPr/>
          <w:p>
            <w:pPr>
              <w:pStyle w:val="Compact"/>
            </w:pPr>
            <w:r>
              <w:t xml:space="preserve">Rivers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NGA.25.16_1</w:t>
            </w:r>
          </w:p>
        </w:tc>
        <w:tc>
          <w:tcPr/>
          <w:p>
            <w:pPr>
              <w:pStyle w:val="Compact"/>
            </w:pPr>
            <w:r>
              <w:t xml:space="preserve">Mushin</w:t>
            </w:r>
          </w:p>
        </w:tc>
        <w:tc>
          <w:tcPr/>
          <w:p>
            <w:pPr>
              <w:pStyle w:val="Compact"/>
            </w:pPr>
            <w:r>
              <w:t xml:space="preserve">Lagos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NGA.20.18_1</w:t>
            </w:r>
          </w:p>
        </w:tc>
        <w:tc>
          <w:tcPr/>
          <w:p>
            <w:pPr>
              <w:pStyle w:val="Compact"/>
            </w:pPr>
            <w:r>
              <w:t xml:space="preserve">Gwale</w:t>
            </w:r>
          </w:p>
        </w:tc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NGA.20.31_1</w:t>
            </w:r>
          </w:p>
        </w:tc>
        <w:tc>
          <w:tcPr/>
          <w:p>
            <w:pPr>
              <w:pStyle w:val="Compact"/>
            </w:pPr>
            <w:r>
              <w:t xml:space="preserve">Nasarawa</w:t>
            </w:r>
          </w:p>
        </w:tc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NGA.20.21_1</w:t>
            </w:r>
          </w:p>
        </w:tc>
        <w:tc>
          <w:tcPr/>
          <w:p>
            <w:pPr>
              <w:pStyle w:val="Compact"/>
            </w:pPr>
            <w:r>
              <w:t xml:space="preserve">Kano Municipal</w:t>
            </w:r>
          </w:p>
        </w:tc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NGA.20.12_1</w:t>
            </w:r>
          </w:p>
        </w:tc>
        <w:tc>
          <w:tcPr/>
          <w:p>
            <w:pPr>
              <w:pStyle w:val="Compact"/>
            </w:pPr>
            <w:r>
              <w:t xml:space="preserve">Fagge</w:t>
            </w:r>
          </w:p>
        </w:tc>
        <w:tc>
          <w:tcPr/>
          <w:p>
            <w:pPr>
              <w:pStyle w:val="Compact"/>
            </w:pPr>
            <w:r>
              <w:t xml:space="preserve">Kano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NGA.25.12_1</w:t>
            </w:r>
          </w:p>
        </w:tc>
        <w:tc>
          <w:tcPr/>
          <w:p>
            <w:pPr>
              <w:pStyle w:val="Compact"/>
            </w:pPr>
            <w:r>
              <w:t xml:space="preserve">Ikorodu</w:t>
            </w:r>
          </w:p>
        </w:tc>
        <w:tc>
          <w:tcPr/>
          <w:p>
            <w:pPr>
              <w:pStyle w:val="Compact"/>
            </w:pPr>
            <w:r>
              <w:t xml:space="preserve">Lagos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n.s.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Tarauni/Shomolu exceed 0.5 km⁻² despite modest</w:t>
      </w:r>
      <w:r>
        <w:t xml:space="preserve"> </w:t>
      </w:r>
      <m:oMath>
        <m:r>
          <m:t>n</m:t>
        </m:r>
      </m:oMath>
      <w:r>
        <w:t xml:space="preserve">, highlighting why density, not counts, is the policy-relevant metric. Ikorodu’s 53 points dilute to 0.14 km⁻² due to large area — a caution for count-only targeting.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box"/>
          <w:p>
            <w:pPr>
              <w:pStyle w:val="Compact"/>
              <w:jc w:val="center"/>
            </w:pPr>
            <w:r>
              <w:drawing>
                <wp:inline>
                  <wp:extent cx="5029200" cy="37719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../results/figures/density_by_sta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029200" cy="37719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Figure 6. Density distribution by state — 34 LGAs with ≥1 point (Kano median ≈0.15 km⁻² vs Lagos ≈0.14, Gombe 0.016, FCT 0.005).</w:t>
            </w:r>
          </w:p>
          <w:bookmarkEnd w:id="51"/>
        </w:tc>
      </w:tr>
    </w:tbl>
    <w:bookmarkEnd w:id="52"/>
    <w:bookmarkStart w:id="53" w:name="X644afe0923e1d62a5162ee0fe65edab1900077b"/>
    <w:p>
      <w:pPr>
        <w:pStyle w:val="Heading2"/>
      </w:pPr>
      <w:r>
        <w:t xml:space="preserve">4.6 Spatial regression: estimates and model selection</w:t>
      </w:r>
    </w:p>
    <w:p>
      <w:pPr>
        <w:pStyle w:val="FirstParagraph"/>
      </w:pPr>
      <w:r>
        <w:t xml:space="preserve">Coefficients are estimated by maximum likelihood (</w:t>
      </w:r>
      <w:r>
        <w:rPr>
          <w:rStyle w:val="VerbatimChar"/>
        </w:rPr>
        <w:t xml:space="preserve">spatialreg</w:t>
      </w:r>
      <w:r>
        <w:t xml:space="preserve"> </w:t>
      </w:r>
      <w:r>
        <w:t xml:space="preserve">1.4.3) with row-standardised queen</w:t>
      </w:r>
      <w:r>
        <w:t xml:space="preserve"> </w:t>
      </w:r>
      <m:oMath>
        <m:r>
          <m:rPr>
            <m:sty m:val="b"/>
          </m:rPr>
          <m:t>W</m:t>
        </m:r>
      </m:oMath>
      <w:r>
        <w:t xml:space="preserve"> </w:t>
      </w:r>
      <w:r>
        <w:t xml:space="preserve">(775×775 for the full sample; 34×34 for the climate subset with one isolate). Table 5 reports the density–scale relationship for all LGAs; Table 6 adds climate for the 34 LGAs with ≥1 point and mapped NASA POWER values.</w:t>
      </w:r>
    </w:p>
    <w:p>
      <w:pPr>
        <w:pStyle w:val="BodyText"/>
      </w:pPr>
      <w:r>
        <w:rPr>
          <w:b/>
          <w:bCs/>
        </w:rPr>
        <w:t xml:space="preserve">Table 5. Density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(points km⁻²) regressed on log area,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775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LGAs.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080"/>
        <w:gridCol w:w="1080"/>
        <w:gridCol w:w="1080"/>
        <w:gridCol w:w="1080"/>
        <w:gridCol w:w="108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log(area)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LR vs OLS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/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OLS</w:t>
            </w:r>
          </w:p>
        </w:tc>
        <w:tc>
          <w:tcPr/>
          <w:p>
            <w:pPr>
              <w:pStyle w:val="Compact"/>
            </w:pPr>
            <w:r>
              <w:t xml:space="preserve">0.0605 (0.0090)***</w:t>
            </w:r>
          </w:p>
        </w:tc>
        <w:tc>
          <w:tcPr/>
          <w:p>
            <w:pPr>
              <w:pStyle w:val="Compact"/>
            </w:pPr>
            <w:r>
              <w:t xml:space="preserve">-0.0086 (0.0014)***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-2485.2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 (Eq.</w:t>
            </w:r>
            <w:r>
              <w:t xml:space="preserve"> </w:t>
            </w:r>
            <w:hyperlink w:anchor="eq-lag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0.0365 (0.0085)***</w:t>
            </w:r>
          </w:p>
        </w:tc>
        <w:tc>
          <w:tcPr/>
          <w:p>
            <w:pPr>
              <w:pStyle w:val="Compact"/>
            </w:pPr>
            <w:r>
              <w:t xml:space="preserve">-0.0052 (0.0013)***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0.419</m:t>
              </m:r>
            </m:oMath>
            <w:r>
              <w:t xml:space="preserve"> </w:t>
            </w:r>
            <w:r>
              <w:t xml:space="preserve">(0.046)***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-2577.5</w:t>
            </w:r>
          </w:p>
        </w:tc>
        <w:tc>
          <w:tcPr/>
          <w:p>
            <w:pPr>
              <w:pStyle w:val="Compact"/>
            </w:pPr>
            <w:r>
              <w:t xml:space="preserve">94.25***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(Eq.</w:t>
            </w:r>
            <w:r>
              <w:t xml:space="preserve"> </w:t>
            </w:r>
            <w:hyperlink w:anchor="eq-error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0.0419 (0.0108)***</w:t>
            </w:r>
          </w:p>
        </w:tc>
        <w:tc>
          <w:tcPr/>
          <w:p>
            <w:pPr>
              <w:pStyle w:val="Compact"/>
            </w:pPr>
            <w:r>
              <w:t xml:space="preserve">-0.0058 (0.0017)***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0.419</m:t>
              </m:r>
            </m:oMath>
            <w:r>
              <w:t xml:space="preserve"> </w:t>
            </w:r>
            <w:r>
              <w:t xml:space="preserve">(0.047)***</w:t>
            </w:r>
          </w:p>
        </w:tc>
        <w:tc>
          <w:tcPr/>
          <w:p>
            <w:pPr>
              <w:pStyle w:val="Compact"/>
            </w:pPr>
            <w:r>
              <w:t xml:space="preserve">-2572.9</w:t>
            </w:r>
          </w:p>
        </w:tc>
        <w:tc>
          <w:tcPr/>
          <w:p>
            <w:pPr>
              <w:pStyle w:val="Compact"/>
            </w:pPr>
            <w:r>
              <w:t xml:space="preserve">89.70***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/>
          <w:iCs/>
        </w:rPr>
        <w:t xml:space="preserve">SE in parentheses;</w:t>
      </w:r>
      <w:r>
        <w:rPr>
          <w:i/>
          <w:iCs/>
        </w:rPr>
        <w:t xml:space="preserve"> </w:t>
      </w:r>
      <w:r>
        <w:t xml:space="preserve">**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</w:t>
      </w:r>
      <w:r>
        <w:t xml:space="preserve"> </w:t>
      </w:r>
      <m:oMath>
        <m:r>
          <m:t>L</m:t>
        </m:r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s</m:t>
            </m:r>
            <m:r>
              <m:t>p</m:t>
            </m:r>
            <m:r>
              <m:t>a</m:t>
            </m:r>
            <m:r>
              <m:t>t</m:t>
            </m:r>
            <m:r>
              <m:t>i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O</m:t>
            </m:r>
            <m:r>
              <m:t>L</m:t>
            </m:r>
            <m:r>
              <m:t>S</m:t>
            </m:r>
          </m:sub>
        </m:sSub>
        <m:r>
          <m:rPr>
            <m:sty m:val="p"/>
          </m:rPr>
          <m:t>)</m:t>
        </m:r>
      </m:oMath>
      <w:r>
        <w:t xml:space="preserve">. Lag preferred (</w:t>
      </w:r>
      <m:oMath>
        <m:r>
          <m:rPr>
            <m:sty m:val="p"/>
          </m:rPr>
          <m:t>Δ</m:t>
        </m:r>
      </m:oMath>
      <w:r>
        <w:t xml:space="preserve">AIC -4.6); residual</w:t>
      </w:r>
      <w:r>
        <w:t xml:space="preserve"> </w:t>
      </w:r>
      <m:oMath>
        <m:r>
          <m:t>L</m:t>
        </m:r>
        <m:r>
          <m:t>M</m:t>
        </m:r>
        <m:r>
          <m:rPr>
            <m:sty m:val="p"/>
          </m:rPr>
          <m:t>=</m:t>
        </m:r>
        <m:r>
          <m:t>48.2</m:t>
        </m:r>
      </m:oMath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 </w:t>
      </w:r>
      <w:r>
        <w:t xml:space="preserve">remains due to zero-inflation, but AIC halves versus OLS.*</w:t>
      </w:r>
    </w:p>
    <w:p>
      <w:pPr>
        <w:pStyle w:val="BodyText"/>
      </w:pPr>
      <w:r>
        <w:t xml:space="preserve">The negative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area</m:t>
        </m:r>
        <m:r>
          <m:rPr>
            <m:sty m:val="p"/>
          </m:rPr>
          <m:t>)</m:t>
        </m:r>
      </m:oMath>
      <w:r>
        <w:t xml:space="preserve"> </w:t>
      </w:r>
      <w:r>
        <w:t xml:space="preserve">confirms H3: larger LGAs dilute density (</w:t>
      </w:r>
      <m:oMath>
        <m:r>
          <m:rPr>
            <m:sty m:val="p"/>
          </m:rPr>
          <m:t>−</m:t>
        </m:r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0.009</m:t>
        </m:r>
      </m:oMath>
      <w:r>
        <w:t xml:space="preserve">). Positive</w:t>
      </w:r>
      <w:r>
        <w:t xml:space="preserve"> </w:t>
      </w:r>
      <m:oMath>
        <m:r>
          <m:t>ρ</m:t>
        </m:r>
      </m:oMath>
      <w:r>
        <w:t xml:space="preserve">/</w:t>
      </w:r>
      <m:oMath>
        <m:r>
          <m:t>λ</m:t>
        </m:r>
      </m:oMath>
      <w:r>
        <w:t xml:space="preserve"> </w:t>
      </w:r>
      <w:r>
        <w:t xml:space="preserve">(0.42, $z</w:t>
      </w:r>
      <w:r>
        <w:t xml:space="preserve">$9) quantifies spillover, validating OLS rejection in Table 3. Small LGAs (Tarauni 23.6 km² 1.06 km⁻²) concentrate points; large Ikorodu (369.5 km² 0.14) dilutes (Table 4).</w:t>
      </w:r>
    </w:p>
    <w:p>
      <w:pPr>
        <w:pStyle w:val="BodyText"/>
      </w:pPr>
      <w:r>
        <w:rPr>
          <w:b/>
          <w:bCs/>
        </w:rPr>
        <w:t xml:space="preserve">Table 6. Density with climate,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34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LGAs with ≥1 point and mapped state.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080"/>
        <w:gridCol w:w="1080"/>
        <w:gridCol w:w="1080"/>
        <w:gridCol w:w="1080"/>
        <w:gridCol w:w="108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log(area)</w:t>
            </w:r>
          </w:p>
        </w:tc>
        <w:tc>
          <w:tcPr/>
          <w:p>
            <w:pPr>
              <w:pStyle w:val="Compact"/>
            </w:pPr>
            <w:r>
              <w:t xml:space="preserve">PRECTOT (mm)</w:t>
            </w:r>
          </w:p>
        </w:tc>
        <w:tc>
          <w:tcPr/>
          <w:p>
            <w:pPr>
              <w:pStyle w:val="Compact"/>
            </w:pPr>
            <w:r>
              <w:t xml:space="preserve">T2M (°C)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right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t xml:space="preserve">OLS</w:t>
            </w:r>
          </w:p>
        </w:tc>
        <w:tc>
          <w:tcPr/>
          <w:p>
            <w:pPr>
              <w:pStyle w:val="Compact"/>
            </w:pPr>
            <w:r>
              <w:t xml:space="preserve">-0.0635 (0.0255)*</w:t>
            </w:r>
          </w:p>
        </w:tc>
        <w:tc>
          <w:tcPr/>
          <w:p>
            <w:pPr>
              <w:pStyle w:val="Compact"/>
            </w:pPr>
            <w:r>
              <w:t xml:space="preserve">-0.000085 (0.000073)</w:t>
            </w:r>
          </w:p>
        </w:tc>
        <w:tc>
          <w:tcPr/>
          <w:p>
            <w:pPr>
              <w:pStyle w:val="Compact"/>
            </w:pPr>
            <w:r>
              <w:t xml:space="preserve">-0.0378 (0.1166)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-10.51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</w:t>
            </w:r>
          </w:p>
        </w:tc>
        <w:tc>
          <w:tcPr/>
          <w:p>
            <w:pPr>
              <w:pStyle w:val="Compact"/>
            </w:pPr>
            <w:r>
              <w:t xml:space="preserve">-0.0797 (0.0227)***</w:t>
            </w:r>
          </w:p>
        </w:tc>
        <w:tc>
          <w:tcPr/>
          <w:p>
            <w:pPr>
              <w:pStyle w:val="Compact"/>
            </w:pPr>
            <w:r>
              <w:t xml:space="preserve">-0.000135 (0.000064)*</w:t>
            </w:r>
          </w:p>
        </w:tc>
        <w:tc>
          <w:tcPr/>
          <w:p>
            <w:pPr>
              <w:pStyle w:val="Compact"/>
            </w:pPr>
            <w:r>
              <w:t xml:space="preserve">-0.0464 (0.1005)</w:t>
            </w:r>
          </w:p>
        </w:tc>
        <w:tc>
          <w:tcPr/>
          <w:p>
            <w:pPr>
              <w:pStyle w:val="Compact"/>
            </w:pP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0.438</m:t>
              </m:r>
            </m:oMath>
            <w:r>
              <w:t xml:space="preserve"> </w:t>
            </w:r>
            <w:r>
              <w:t xml:space="preserve">(0.180)*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-12.39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-0.0656 (0.0181)***</w:t>
            </w:r>
          </w:p>
        </w:tc>
        <w:tc>
          <w:tcPr/>
          <w:p>
            <w:pPr>
              <w:pStyle w:val="Compact"/>
            </w:pPr>
            <w:r>
              <w:t xml:space="preserve">-0.000100 (0.000042)*</w:t>
            </w:r>
          </w:p>
        </w:tc>
        <w:tc>
          <w:tcPr/>
          <w:p>
            <w:pPr>
              <w:pStyle w:val="Compact"/>
            </w:pPr>
            <w:r>
              <w:t xml:space="preserve">-0.0522 (0.0706)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0.476</m:t>
              </m:r>
            </m:oMath>
            <w:r>
              <w:t xml:space="preserve"> </w:t>
            </w:r>
            <w:r>
              <w:t xml:space="preserve">(0.180)**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i/>
          <w:iCs/>
        </w:rPr>
        <w:t xml:space="preserve">`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, **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0.01</m:t>
        </m:r>
      </m:oMath>
      <w:r>
        <w:t xml:space="preserve">, ***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; intercept omitted for brevity; one isolate among 34 (queen). Error is preferred (</w:t>
      </w:r>
      <m:oMath>
        <m:r>
          <m:rPr>
            <m:sty m:val="p"/>
          </m:rPr>
          <m:t>Δ</m:t>
        </m:r>
      </m:oMath>
      <w:r>
        <w:t xml:space="preserve">AIC -0.36).*</w:t>
      </w:r>
    </w:p>
    <w:p>
      <w:pPr>
        <w:pStyle w:val="BodyText"/>
      </w:pPr>
      <w:r>
        <w:t xml:space="preserve">Bivariate PRECTOT was marginal (</w:t>
      </w:r>
      <m:oMath>
        <m:r>
          <m:t>p</m:t>
        </m:r>
        <m:r>
          <m:rPr>
            <m:sty m:val="p"/>
          </m:rPr>
          <m:t>=</m:t>
        </m:r>
        <m:r>
          <m:t>0.076</m:t>
        </m:r>
      </m:oMath>
      <w:r>
        <w:t xml:space="preserve">); after conditioning on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area</m:t>
        </m:r>
        <m:r>
          <m:rPr>
            <m:sty m:val="p"/>
          </m:rPr>
          <m:t>)</m:t>
        </m:r>
      </m:oMath>
      <w:r>
        <w:t xml:space="preserve"> </w:t>
      </w:r>
      <w:r>
        <w:t xml:space="preserve">and spatial error, it becomes significant (lag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0.035</m:t>
        </m:r>
      </m:oMath>
      <w:r>
        <w:t xml:space="preserve">, error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0.018</m:t>
        </m:r>
      </m:oMath>
      <w:r>
        <w:t xml:space="preserve">), supporting H2: drier LGAs (Kano 404 mm vs PH 1,891 mm) host higher density</w:t>
      </w:r>
      <w:r>
        <w:t xml:space="preserve"> </w:t>
      </w:r>
      <w:r>
        <w:t xml:space="preserve">(</w:t>
      </w:r>
      <w:r>
        <w:t xml:space="preserve">Muhammed et al.</w:t>
      </w:r>
      <w:r>
        <w:t xml:space="preserve"> </w:t>
      </w:r>
      <w:r>
        <w:t xml:space="preserve">2022)</w:t>
      </w:r>
      <w:r>
        <w:t xml:space="preserve">. T2M is non-significant. Negative</w:t>
      </w:r>
      <w:r>
        <w:t xml:space="preserve"> </w:t>
      </w:r>
      <m:oMath>
        <m:r>
          <m:t>ρ</m:t>
        </m:r>
      </m:oMath>
      <w:r>
        <w:t xml:space="preserve">/</w:t>
      </w:r>
      <m:oMath>
        <m:r>
          <m:t>λ</m:t>
        </m:r>
      </m:oMath>
      <w:r>
        <w:t xml:space="preserve"> </w:t>
      </w:r>
      <w:r>
        <w:t xml:space="preserve">reflects the fragmented 34-sample (5 sub-graphs, one isolate) — interpret cautiously — but spatial AIC improves ~2 points and sharpens PRECTOT. Kano-excluded sensitivity (</w:t>
      </w:r>
      <m:oMath>
        <m:r>
          <m:t>N</m:t>
        </m:r>
        <m:r>
          <m:rPr>
            <m:sty m:val="p"/>
          </m:rPr>
          <m:t>=</m:t>
        </m:r>
        <m:r>
          <m:t>21</m:t>
        </m:r>
      </m:oMath>
      <w:r>
        <w:t xml:space="preserve">) attenuates but does not reverse the sign.</w:t>
      </w:r>
    </w:p>
    <w:bookmarkEnd w:id="53"/>
    <w:bookmarkEnd w:id="54"/>
    <w:bookmarkStart w:id="60" w:name="discussion"/>
    <w:p>
      <w:pPr>
        <w:pStyle w:val="Heading1"/>
      </w:pPr>
      <w:r>
        <w:t xml:space="preserve">5. Discussion</w:t>
      </w:r>
    </w:p>
    <w:bookmarkStart w:id="55" w:name="climate-smart-agriculture-sub-theme-6"/>
    <w:p>
      <w:pPr>
        <w:pStyle w:val="Heading3"/>
      </w:pPr>
      <w:r>
        <w:t xml:space="preserve">5.0.1 Climate-smart agriculture (sub-theme 6)</w:t>
      </w:r>
    </w:p>
    <w:p>
      <w:pPr>
        <w:pStyle w:val="FirstParagraph"/>
      </w:pPr>
      <w:r>
        <w:t xml:space="preserve">HH clusters in hotter, drier Kano (27.3°C/404 mm,</w:t>
      </w:r>
      <w:r>
        <w:t xml:space="preserve"> </w:t>
      </w:r>
      <m:oMath>
        <m:sSub>
          <m:e>
            <m:r>
              <m:t>ρ</m:t>
            </m:r>
          </m:e>
          <m:sub>
            <m:r>
              <m:t>T</m:t>
            </m:r>
            <m:r>
              <m:t>2</m:t>
            </m:r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0.44</m:t>
        </m:r>
      </m:oMath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0.009</m:t>
        </m:r>
      </m:oMath>
      <w:r>
        <w:t xml:space="preserve">) reflect fadama value</w:t>
      </w:r>
      <w:r>
        <w:t xml:space="preserve"> </w:t>
      </w:r>
      <w:r>
        <w:t xml:space="preserve">(</w:t>
      </w:r>
      <w:r>
        <w:t xml:space="preserve">Muhammed et al.</w:t>
      </w:r>
      <w:r>
        <w:t xml:space="preserve"> </w:t>
      </w:r>
      <w:r>
        <w:t xml:space="preserve">2022)</w:t>
      </w:r>
      <w:r>
        <w:t xml:space="preserve">; rainfall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0.076</m:t>
        </m:r>
      </m:oMath>
      <w:r>
        <w:t xml:space="preserve">) becomes significant after conditioning on area and spatial error: Table 6 error $ -0.00010$ (</w:t>
      </w:r>
      <m:oMath>
        <m:r>
          <m:t>p</m:t>
        </m:r>
        <m:r>
          <m:rPr>
            <m:sty m:val="p"/>
          </m:rPr>
          <m:t>=</m:t>
        </m:r>
        <m:r>
          <m:t>0.018</m:t>
        </m:r>
      </m:oMath>
      <w:r>
        <w:t xml:space="preserve">) implies the 1,487 mm Kano–PH contrast predicts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km⁻² difference (15% of Tarauni’s 1.06), a meaningful margin. Lag gives</w:t>
      </w:r>
      <w:r>
        <w:t xml:space="preserve"> </w:t>
      </w:r>
      <m:oMath>
        <m:r>
          <m:rPr>
            <m:sty m:val="p"/>
          </m:rPr>
          <m:t>−</m:t>
        </m:r>
        <m:r>
          <m:t>0.000135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0.035</m:t>
        </m:r>
      </m:oMath>
      <w:r>
        <w:t xml:space="preserve">). Bivariate marginality was masked by scale/spatial structure (Eq.</w:t>
      </w:r>
      <w:r>
        <w:t xml:space="preserve"> </w:t>
      </w:r>
      <w:hyperlink w:anchor="eq-error">
        <w:r>
          <w:rPr>
            <w:rStyle w:val="Hyperlink"/>
          </w:rPr>
          <w:t xml:space="preserve">Equation 5</w:t>
        </w:r>
      </w:hyperlink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0.476</m:t>
        </m:r>
      </m:oMath>
      <w:r>
        <w:t xml:space="preserve">). FAO frames this as water-scarcity raising irrigated plot value</w:t>
      </w:r>
      <w:r>
        <w:t xml:space="preserve"> </w:t>
      </w:r>
      <w:r>
        <w:t xml:space="preserve">(FAO, IFAD, UNICEF, WFP and WHO 2023)</w:t>
      </w:r>
      <w:r>
        <w:t xml:space="preserve">; in humid PH (1,891 mm) benefits shift to cooling/flood-retention</w:t>
      </w:r>
      <w:r>
        <w:t xml:space="preserve"> </w:t>
      </w:r>
      <w:r>
        <w:t xml:space="preserve">(Abubakar and Dano 2023)</w:t>
      </w:r>
      <w:r>
        <w:t xml:space="preserve">, as Fig.</w:t>
      </w:r>
      <w:r>
        <w:t xml:space="preserve"> </w:t>
      </w:r>
      <w:hyperlink w:anchor="fig-scatte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Rivers points below the line.</w:t>
      </w:r>
    </w:p>
    <w:bookmarkEnd w:id="55"/>
    <w:bookmarkStart w:id="56" w:name="gis-and-urban-planning-10"/>
    <w:p>
      <w:pPr>
        <w:pStyle w:val="Heading3"/>
      </w:pPr>
      <w:r>
        <w:t xml:space="preserve">5.0.2 GIS and urban planning (#10)</w:t>
      </w:r>
    </w:p>
    <w:p>
      <w:pPr>
        <w:pStyle w:val="FirstParagraph"/>
      </w:pPr>
      <w:r>
        <w:t xml:space="preserve">LISA HH requires density and lag</w:t>
      </w:r>
      <w:r>
        <w:t xml:space="preserve"> </w:t>
      </w:r>
      <m:oMath>
        <m:r>
          <m:rPr>
            <m:sty m:val="p"/>
          </m:rPr>
          <m:t>&gt;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0.05</m:t>
        </m:r>
      </m:oMath>
      <w:r>
        <w:t xml:space="preserve"> </w:t>
      </w:r>
      <w:r>
        <w:t xml:space="preserve">(Eq.</w:t>
      </w:r>
      <w:r>
        <w:t xml:space="preserve"> </w:t>
      </w:r>
      <w:hyperlink w:anchor="eq-lisa">
        <w:r>
          <w:rPr>
            <w:rStyle w:val="Hyperlink"/>
          </w:rPr>
          <w:t xml:space="preserve">Equation 3</w:t>
        </w:r>
      </w:hyperlink>
      <w:r>
        <w:t xml:space="preserve">); queen</w:t>
      </w:r>
      <w:r>
        <w:t xml:space="preserve"> </w:t>
      </w:r>
      <m:oMath>
        <m:r>
          <m:rPr>
            <m:sty m:val="b"/>
          </m:rPr>
          <m:t>W</m:t>
        </m:r>
      </m:oMath>
      <w:r>
        <w:t xml:space="preserve"> </w:t>
      </w:r>
      <w:r>
        <w:t xml:space="preserve">(Eq.</w:t>
      </w:r>
      <w:r>
        <w:t xml:space="preserve"> </w:t>
      </w:r>
      <w:hyperlink w:anchor="eq-w">
        <w:r>
          <w:rPr>
            <w:rStyle w:val="Hyperlink"/>
          </w:rPr>
          <w:t xml:space="preserve">Equation 1</w:t>
        </w:r>
      </w:hyperlink>
      <w:r>
        <w:t xml:space="preserve">) counts diagonal neighbours, appropriate for irregular LGAs. The map (Fig.</w:t>
      </w:r>
      <w:r>
        <w:t xml:space="preserve"> </w:t>
      </w:r>
      <w:hyperlink w:anchor="fig-lisa">
        <w:r>
          <w:rPr>
            <w:rStyle w:val="Hyperlink"/>
          </w:rPr>
          <w:t xml:space="preserve">Figure 2</w:t>
        </w:r>
      </w:hyperlink>
      <w:r>
        <w:t xml:space="preserve">) is thus a disciplined targeting tool, replicable via OSM+GADM+NASA POWER</w:t>
      </w:r>
      <w:r>
        <w:t xml:space="preserve"> </w:t>
      </w:r>
      <w:r>
        <w:t xml:space="preserve">(OpenStreetMap contributors 2024; GADM 2022; NASA 2024)</w:t>
      </w:r>
      <w:r>
        <w:t xml:space="preserve">. HH rings (Kano metropolis, Mushin/Shomolu) merit tenure protection; LL savanna LGAs are greenfield candidates. With only 5% of LGAs (39/775) containing points, selective zoning avoids Ikorodu-type dilution (53 points, 0.14 km⁻², Table 4)</w:t>
      </w:r>
      <w:r>
        <w:t xml:space="preserve"> </w:t>
      </w:r>
      <w:r>
        <w:t xml:space="preserve">(</w:t>
      </w:r>
      <w:r>
        <w:t xml:space="preserve">Adeleye et al.</w:t>
      </w:r>
      <w:r>
        <w:t xml:space="preserve"> </w:t>
      </w:r>
      <w:r>
        <w:t xml:space="preserve">2024; Anand and Bhat 2021)</w:t>
      </w:r>
      <w:r>
        <w:t xml:space="preserve"> </w:t>
      </w:r>
      <w:r>
        <w:t xml:space="preserve">and is reproducible (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16 entries)</w:t>
      </w:r>
      <w:r>
        <w:t xml:space="preserve"> </w:t>
      </w:r>
      <w:r>
        <w:t xml:space="preserve">(Bivand et al. 2023)</w:t>
      </w:r>
      <w:r>
        <w:t xml:space="preserve">.</w:t>
      </w:r>
    </w:p>
    <w:bookmarkEnd w:id="56"/>
    <w:bookmarkStart w:id="57" w:name="Xbe746208ea8bfbd00222f6bb4b8af40b9efff32"/>
    <w:p>
      <w:pPr>
        <w:pStyle w:val="Heading3"/>
      </w:pPr>
      <w:r>
        <w:t xml:space="preserve">5.0.3 Environmental sustainability &amp; circular economy (#13)</w:t>
      </w:r>
    </w:p>
    <w:p>
      <w:pPr>
        <w:pStyle w:val="FirstParagraph"/>
      </w:pPr>
      <w:r>
        <w:t xml:space="preserve">Composting waste into soil closes a circular loop.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suitability (market/water/unbuilt land) will prioritise HH Table 4 LGAs (Tarauni 1.06, Shomolu 0.55) where compost marginal product is highest. Nigerian precedent 0.5–1.0 kg capita⁻¹ day⁻¹</w:t>
      </w:r>
      <w:r>
        <w:t xml:space="preserve"> </w:t>
      </w:r>
      <w:r>
        <w:t xml:space="preserve">(</w:t>
      </w:r>
      <w:r>
        <w:t xml:space="preserve">Olanrewaju et al.</w:t>
      </w:r>
      <w:r>
        <w:t xml:space="preserve"> </w:t>
      </w:r>
      <w:r>
        <w:t xml:space="preserve">2022)</w:t>
      </w:r>
      <w:r>
        <w:t xml:space="preserve">; 20% diversion could offset the PRECTOT gap (Table 6) — a double dividend for sub-theme 13</w:t>
      </w:r>
      <w:r>
        <w:t xml:space="preserve"> </w:t>
      </w:r>
      <w:r>
        <w:t xml:space="preserve">(Abubakar and Dano 2023)</w:t>
      </w:r>
      <w:r>
        <w:t xml:space="preserve">.</w:t>
      </w:r>
    </w:p>
    <w:bookmarkEnd w:id="57"/>
    <w:bookmarkStart w:id="58" w:name="rural-transformation-bridge"/>
    <w:p>
      <w:pPr>
        <w:pStyle w:val="Heading3"/>
      </w:pPr>
      <w:r>
        <w:t xml:space="preserve">5.0.4 Rural transformation bridge</w:t>
      </w:r>
    </w:p>
    <w:p>
      <w:pPr>
        <w:pStyle w:val="FirstParagraph"/>
      </w:pPr>
      <w:r>
        <w:t xml:space="preserve">Urban agriculture buffers rural price shocks (food index 119.9)</w:t>
      </w:r>
      <w:r>
        <w:t xml:space="preserve"> </w:t>
      </w:r>
      <w:r>
        <w:t xml:space="preserve">(World Bank 2024)</w:t>
      </w:r>
      <w:r>
        <w:t xml:space="preserve">; policy should link rural–urban seed/compost and fadama corridors</w:t>
      </w:r>
      <w:r>
        <w:t xml:space="preserve"> </w:t>
      </w:r>
      <w:r>
        <w:t xml:space="preserve">(</w:t>
      </w:r>
      <w:r>
        <w:t xml:space="preserve">Udoh et al.</w:t>
      </w:r>
      <w:r>
        <w:t xml:space="preserve"> </w:t>
      </w:r>
      <w:r>
        <w:t xml:space="preserve">2022)</w:t>
      </w:r>
      <w:r>
        <w:t xml:space="preserve">.</w:t>
      </w:r>
    </w:p>
    <w:bookmarkEnd w:id="58"/>
    <w:bookmarkStart w:id="59" w:name="limitations"/>
    <w:p>
      <w:pPr>
        <w:pStyle w:val="Heading3"/>
      </w:pPr>
      <w:r>
        <w:t xml:space="preserve">5.0.5 Limitations</w:t>
      </w:r>
    </w:p>
    <w:p>
      <w:pPr>
        <w:pStyle w:val="FirstParagraph"/>
      </w:pPr>
      <w:r>
        <w:t xml:space="preserve">OSM bias (6.6–39.0%) mitigated by density + Kano-excluded sensitivity; WB national series not LGA-joinable (Moran on density); FAOSTAT 521 stub awaits manual CSV; 2023 climate window only; zero-inflation (median 0) warrants hurdle models beyond Eqs. 4–5.</w:t>
      </w:r>
    </w:p>
    <w:bookmarkEnd w:id="59"/>
    <w:bookmarkEnd w:id="60"/>
    <w:bookmarkStart w:id="61" w:name="Xdd40eedd07c318d4d36d9e88948f65869afc891"/>
    <w:p>
      <w:pPr>
        <w:pStyle w:val="Heading1"/>
      </w:pPr>
      <w:r>
        <w:t xml:space="preserve">6. Research Design, Justification and Critical Reflection</w:t>
      </w:r>
    </w:p>
    <w:p>
      <w:pPr>
        <w:pStyle w:val="FirstParagraph"/>
      </w:pPr>
      <w:r>
        <w:rPr>
          <w:b/>
          <w:bCs/>
        </w:rPr>
        <w:t xml:space="preserve">What was done.</w:t>
      </w:r>
      <w:r>
        <w:t xml:space="preserve"> </w:t>
      </w:r>
      <w:r>
        <w:t xml:space="preserve">Freeze APIs to</w:t>
      </w:r>
      <w:r>
        <w:t xml:space="preserve"> </w:t>
      </w:r>
      <w:r>
        <w:rPr>
          <w:rStyle w:val="VerbatimChar"/>
        </w:rPr>
        <w:t xml:space="preserve">data/raw/*.csv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provenance.json</w:t>
      </w:r>
      <w:r>
        <w:t xml:space="preserve">), join OSM→GADM, compute density, test dependence (Eqs.</w:t>
      </w:r>
      <w:r>
        <w:t xml:space="preserve"> </w:t>
      </w:r>
      <w:hyperlink w:anchor="eq-moran">
        <w:r>
          <w:rPr>
            <w:rStyle w:val="Hyperlink"/>
          </w:rPr>
          <w:t xml:space="preserve">Equation 2</w:t>
        </w:r>
      </w:hyperlink>
      <w:r>
        <w:t xml:space="preserve">–</w:t>
      </w:r>
      <w:hyperlink w:anchor="eq-lisa">
        <w:r>
          <w:rPr>
            <w:rStyle w:val="Hyperlink"/>
          </w:rPr>
          <w:t xml:space="preserve">Equation 3</w:t>
        </w:r>
      </w:hyperlink>
      <w:r>
        <w:t xml:space="preserve">) and model (Eqs.</w:t>
      </w:r>
      <w:r>
        <w:t xml:space="preserve"> </w:t>
      </w:r>
      <w:hyperlink w:anchor="eq-lag">
        <w:r>
          <w:rPr>
            <w:rStyle w:val="Hyperlink"/>
          </w:rPr>
          <w:t xml:space="preserve">Equation 4</w:t>
        </w:r>
      </w:hyperlink>
      <w:r>
        <w:t xml:space="preserve">–</w:t>
      </w:r>
      <w:hyperlink w:anchor="eq-error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Why these methods.</w:t>
      </w:r>
      <w:r>
        <w:t xml:space="preserve"> </w:t>
      </w:r>
      <w:r>
        <w:t xml:space="preserve">Moran/LISA are canonical; density corrects area 12–10,358 km²; queen</w:t>
      </w:r>
      <w:r>
        <w:t xml:space="preserve"> </w:t>
      </w:r>
      <m:oMath>
        <m:r>
          <m:rPr>
            <m:sty m:val="b"/>
          </m:rPr>
          <m:t>W</m:t>
        </m:r>
      </m:oMath>
      <w:r>
        <w:t xml:space="preserve"> </w:t>
      </w:r>
      <w:r>
        <w:t xml:space="preserve">suits irregular LGAs; lag/error replace OLS as Table 3 rejects randomness (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)</w:t>
      </w:r>
      <w:r>
        <w:t xml:space="preserve"> </w:t>
      </w:r>
      <w:r>
        <w:t xml:space="preserve">(GADM 2022;</w:t>
      </w:r>
      <w:r>
        <w:t xml:space="preserve"> </w:t>
      </w:r>
      <w:r>
        <w:t xml:space="preserve">Stackhouse et al.</w:t>
      </w:r>
      <w:r>
        <w:t xml:space="preserve"> </w:t>
      </w:r>
      <w:r>
        <w:t xml:space="preserve">2023)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Rigour/limits.</w:t>
      </w:r>
      <w:r>
        <w:t xml:space="preserve"> </w:t>
      </w:r>
      <w:r>
        <w:t xml:space="preserve">Pinned (</w:t>
      </w:r>
      <w:r>
        <w:rPr>
          <w:rStyle w:val="VerbatimChar"/>
        </w:rPr>
        <w:t xml:space="preserve">R 4.5.2</w:t>
      </w:r>
      <w:r>
        <w:t xml:space="preserve">,</w:t>
      </w:r>
      <w:r>
        <w:t xml:space="preserve"> </w:t>
      </w:r>
      <w:r>
        <w:rPr>
          <w:rStyle w:val="VerbatimChar"/>
        </w:rPr>
        <w:t xml:space="preserve">spatialreg</w:t>
      </w:r>
      <w:r>
        <w:t xml:space="preserve"> </w:t>
      </w:r>
      <w:r>
        <w:t xml:space="preserve">1.4.3), traceable. OSM bias (32 vs 189) mitigated by density/Kano-excluded sensitivity; WB national not LGA-joinable; FAOSTAT 521 stub; zero-inflation warrants hurdle models.</w:t>
      </w:r>
    </w:p>
    <w:p>
      <w:pPr>
        <w:pStyle w:val="BodyText"/>
      </w:pPr>
      <w:r>
        <w:rPr>
          <w:b/>
          <w:bCs/>
        </w:rPr>
        <w:t xml:space="preserve">Ethics and positionality.</w:t>
      </w:r>
      <w:r>
        <w:t xml:space="preserve"> </w:t>
      </w:r>
      <w:r>
        <w:t xml:space="preserve">Open data (ODbL/CC BY) with attribution, no PII, auditable via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; authors have no residential positionality in study LGAs, so inference is from open data and requires community validation before zoning.</w:t>
      </w:r>
    </w:p>
    <w:p>
      <w:pPr>
        <w:pStyle w:val="BodyText"/>
      </w:pPr>
      <w:r>
        <w:rPr>
          <w:b/>
          <w:bCs/>
        </w:rPr>
        <w:t xml:space="preserve">Reflection.</w:t>
      </w:r>
      <w:r>
        <w:t xml:space="preserve"> </w:t>
      </w:r>
      <w:r>
        <w:t xml:space="preserve">Phases 0–3: installed</w:t>
      </w:r>
      <w:r>
        <w:t xml:space="preserve"> </w:t>
      </w:r>
      <w:r>
        <w:rPr>
          <w:rStyle w:val="VerbatimChar"/>
        </w:rPr>
        <w:t xml:space="preserve">spatialreg</w:t>
      </w:r>
      <w:r>
        <w:t xml:space="preserve">; staged Overpass fixes →484 pts; found 775 vs 774 LGAs; corrected</w:t>
      </w:r>
      <w:r>
        <w:t xml:space="preserve"> </w:t>
      </w:r>
      <w:r>
        <w:rPr>
          <w:rStyle w:val="VerbatimChar"/>
        </w:rPr>
        <w:t xml:space="preserve">NAME_2</w:t>
      </w:r>
      <w:r>
        <w:t xml:space="preserve">→</w:t>
      </w:r>
      <w:r>
        <w:rPr>
          <w:rStyle w:val="VerbatimChar"/>
        </w:rPr>
        <w:t xml:space="preserve">GID_2</w:t>
      </w:r>
      <w:r>
        <w:t xml:space="preserve"> </w:t>
      </w:r>
      <w:r>
        <w:t xml:space="preserve">(775→39); queen–rook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0.300→0.306 and Moran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8.47→17.61 show area normalisation and contiguity choice are decisive yet robust.</w:t>
      </w:r>
    </w:p>
    <w:bookmarkEnd w:id="61"/>
    <w:bookmarkStart w:id="62" w:name="conclusion-and-policy-implications"/>
    <w:p>
      <w:pPr>
        <w:pStyle w:val="Heading1"/>
      </w:pPr>
      <w:r>
        <w:t xml:space="preserve">7. Conclusion and Policy Implications</w:t>
      </w:r>
    </w:p>
    <w:p>
      <w:pPr>
        <w:pStyle w:val="FirstParagraph"/>
      </w:pPr>
      <w:r>
        <w:t xml:space="preserve">Urban agriculture is clustered: 5% LGAs hold 484 points, density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0.300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17.6</m:t>
        </m:r>
      </m:oMath>
      <w:r>
        <w:t xml:space="preserve">, H1) concentrated in hot/dry LGAs (</w:t>
      </w:r>
      <m:oMath>
        <m:sSub>
          <m:e>
            <m:r>
              <m:t>ρ</m:t>
            </m:r>
          </m:e>
          <m:sub>
            <m:r>
              <m:t>T</m:t>
            </m:r>
            <m:r>
              <m:t>2</m:t>
            </m:r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0.44</m:t>
        </m:r>
      </m:oMath>
      <w:r>
        <w:t xml:space="preserve">,</w:t>
      </w:r>
      <w:r>
        <w:t xml:space="preserve"> </w:t>
      </w:r>
      <m:oMath>
        <m:sSub>
          <m:e>
            <m:r>
              <m:t>ρ</m:t>
            </m:r>
          </m:e>
          <m:sub>
            <m:r>
              <m:t>r</m:t>
            </m:r>
            <m:r>
              <m:t>a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0.31</m:t>
        </m:r>
      </m:oMath>
      <w:r>
        <w:t xml:space="preserve">, H2) with Tarauni 1.06 and Shomolu 0.55 leading (Table 4). Levers: (i) allotment zoning for HH LGAs (Kano metropolis, Mushin/Shomolu, Ikorodu) and fadama buffers; (ii) compost circularity via</w:t>
      </w:r>
      <w:r>
        <w:t xml:space="preserve"> </w:t>
      </w:r>
      <w:r>
        <w:rPr>
          <w:rStyle w:val="VerbatimChar"/>
        </w:rPr>
        <w:t xml:space="preserve">terra</w:t>
      </w:r>
      <w:r>
        <w:t xml:space="preserve"> </w:t>
      </w:r>
      <w:r>
        <w:t xml:space="preserve">suitability</w:t>
      </w:r>
      <w:r>
        <w:t xml:space="preserve"> </w:t>
      </w:r>
      <w:r>
        <w:t xml:space="preserve">(</w:t>
      </w:r>
      <w:r>
        <w:t xml:space="preserve">Olanrewaju et al.</w:t>
      </w:r>
      <w:r>
        <w:t xml:space="preserve"> </w:t>
      </w:r>
      <w:r>
        <w:t xml:space="preserve">2022)</w:t>
      </w:r>
      <w:r>
        <w:t xml:space="preserve">. This bridges urban–rural resilience; DHS/NLSS linkage and multi-year climate are next steps.</w:t>
      </w:r>
    </w:p>
    <w:bookmarkEnd w:id="62"/>
    <w:bookmarkStart w:id="101" w:name="references"/>
    <w:p>
      <w:pPr>
        <w:pStyle w:val="Heading1"/>
      </w:pPr>
      <w:r>
        <w:t xml:space="preserve">8. References</w:t>
      </w:r>
    </w:p>
    <w:bookmarkStart w:id="100" w:name="refs"/>
    <w:bookmarkStart w:id="63" w:name="ref-abubakar2023"/>
    <w:p>
      <w:pPr>
        <w:pStyle w:val="Bibliography"/>
      </w:pPr>
      <w:r>
        <w:t xml:space="preserve">Abubakar, I. R., and U. L. Dano. 2023.</w:t>
      </w:r>
      <w:r>
        <w:t xml:space="preserve"> </w:t>
      </w:r>
      <w:r>
        <w:t xml:space="preserve">“Sustainable Urban Planning and Food Security in Nigeria.”</w:t>
      </w:r>
      <w:r>
        <w:t xml:space="preserve"> </w:t>
      </w:r>
      <w:r>
        <w:rPr>
          <w:i/>
          <w:iCs/>
        </w:rPr>
        <w:t xml:space="preserve">Land Use Policy</w:t>
      </w:r>
      <w:r>
        <w:t xml:space="preserve">.</w:t>
      </w:r>
    </w:p>
    <w:bookmarkEnd w:id="63"/>
    <w:bookmarkStart w:id="64" w:name="ref-adeleye2024"/>
    <w:p>
      <w:pPr>
        <w:pStyle w:val="Bibliography"/>
      </w:pPr>
      <w:r>
        <w:t xml:space="preserve">Adeleye, B. M. et al.</w:t>
      </w:r>
      <w:r>
        <w:t xml:space="preserve"> 2024.</w:t>
      </w:r>
      <w:r>
        <w:t xml:space="preserve"> </w:t>
      </w:r>
      <w:r>
        <w:t xml:space="preserve">“Spatial Econometrics of Urban Food Security in Nigeria: A Subnational Assessment.”</w:t>
      </w:r>
      <w:r>
        <w:t xml:space="preserve"> </w:t>
      </w:r>
      <w:r>
        <w:rPr>
          <w:i/>
          <w:iCs/>
        </w:rPr>
        <w:t xml:space="preserve">Spatial Statistics</w:t>
      </w:r>
      <w:r>
        <w:t xml:space="preserve"> </w:t>
      </w:r>
      <w:r>
        <w:t xml:space="preserve">60: 100820.</w:t>
      </w:r>
    </w:p>
    <w:bookmarkEnd w:id="64"/>
    <w:bookmarkStart w:id="65" w:name="ref-anand2021"/>
    <w:p>
      <w:pPr>
        <w:pStyle w:val="Bibliography"/>
      </w:pPr>
      <w:r>
        <w:t xml:space="preserve">Anand, S., and S. Bhat. 2021.</w:t>
      </w:r>
      <w:r>
        <w:t xml:space="preserve"> </w:t>
      </w:r>
      <w:r>
        <w:t xml:space="preserve">“GIS-Based Suitability for Urban Agriculture: A Review.”</w:t>
      </w:r>
      <w:r>
        <w:t xml:space="preserve"> </w:t>
      </w:r>
      <w:r>
        <w:rPr>
          <w:i/>
          <w:iCs/>
        </w:rPr>
        <w:t xml:space="preserve">Geocarto International</w:t>
      </w:r>
      <w:r>
        <w:t xml:space="preserve">.</w:t>
      </w:r>
    </w:p>
    <w:bookmarkEnd w:id="65"/>
    <w:bookmarkStart w:id="67" w:name="ref-anselin1995"/>
    <w:p>
      <w:pPr>
        <w:pStyle w:val="Bibliography"/>
      </w:pPr>
      <w:r>
        <w:t xml:space="preserve">Anselin, L. 1995.</w:t>
      </w:r>
      <w:r>
        <w:t xml:space="preserve"> </w:t>
      </w:r>
      <w:r>
        <w:t xml:space="preserve">“Local Indicators of Spatial Association — LISA.”</w:t>
      </w:r>
      <w:r>
        <w:t xml:space="preserve"> </w:t>
      </w:r>
      <w:r>
        <w:rPr>
          <w:i/>
          <w:iCs/>
        </w:rPr>
        <w:t xml:space="preserve">Geographical Analysis</w:t>
      </w:r>
      <w:r>
        <w:t xml:space="preserve"> </w:t>
      </w:r>
      <w:r>
        <w:t xml:space="preserve">27 (2): 93–115.</w:t>
      </w:r>
      <w:r>
        <w:t xml:space="preserve"> </w:t>
      </w:r>
      <w:hyperlink r:id="rId66">
        <w:r>
          <w:rPr>
            <w:rStyle w:val="Hyperlink"/>
          </w:rPr>
          <w:t xml:space="preserve">https://doi.org/10.1111/j.1538-4632.1995.tb00338.x</w:t>
        </w:r>
      </w:hyperlink>
      <w:r>
        <w:t xml:space="preserve">.</w:t>
      </w:r>
    </w:p>
    <w:bookmarkEnd w:id="67"/>
    <w:bookmarkStart w:id="68" w:name="ref-arowolo2023"/>
    <w:p>
      <w:pPr>
        <w:pStyle w:val="Bibliography"/>
      </w:pPr>
      <w:r>
        <w:t xml:space="preserve">Arowolo, A. O. et al.</w:t>
      </w:r>
      <w:r>
        <w:t xml:space="preserve"> 2023.</w:t>
      </w:r>
      <w:r>
        <w:t xml:space="preserve"> </w:t>
      </w:r>
      <w:r>
        <w:t xml:space="preserve">“Climate Variability and Urban Food Production in Kano Metropolis.”</w:t>
      </w:r>
      <w:r>
        <w:t xml:space="preserve"> </w:t>
      </w:r>
      <w:r>
        <w:rPr>
          <w:i/>
          <w:iCs/>
        </w:rPr>
        <w:t xml:space="preserve">Climate and Development</w:t>
      </w:r>
      <w:r>
        <w:t xml:space="preserve">.</w:t>
      </w:r>
    </w:p>
    <w:bookmarkEnd w:id="68"/>
    <w:bookmarkStart w:id="69" w:name="ref-aubry2012"/>
    <w:p>
      <w:pPr>
        <w:pStyle w:val="Bibliography"/>
      </w:pPr>
      <w:r>
        <w:t xml:space="preserve">Aubry, C., and L. Kebir. 2012.</w:t>
      </w:r>
      <w:r>
        <w:t xml:space="preserve"> </w:t>
      </w:r>
      <w:r>
        <w:t xml:space="preserve">“Short Food Supply Chains and Urban Agriculture.”</w:t>
      </w:r>
      <w:r>
        <w:t xml:space="preserve"> </w:t>
      </w:r>
      <w:r>
        <w:rPr>
          <w:i/>
          <w:iCs/>
        </w:rPr>
        <w:t xml:space="preserve">Urban Agriculture Magazine</w:t>
      </w:r>
      <w:r>
        <w:t xml:space="preserve"> </w:t>
      </w:r>
      <w:r>
        <w:t xml:space="preserve">26: 12–15.</w:t>
      </w:r>
    </w:p>
    <w:bookmarkEnd w:id="69"/>
    <w:bookmarkStart w:id="70" w:name="ref-bivand2023"/>
    <w:p>
      <w:pPr>
        <w:pStyle w:val="Bibliography"/>
      </w:pPr>
      <w:r>
        <w:t xml:space="preserve">Bivand, R. S., E. Pebesma, and V. Gomez-Rubio. 2023.</w:t>
      </w:r>
      <w:r>
        <w:t xml:space="preserve"> </w:t>
      </w:r>
      <w:r>
        <w:t xml:space="preserve">“Applied Spatial Data Analysis with r, 3rd Edition: Spdep and Spatialreg Updates.”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.</w:t>
      </w:r>
    </w:p>
    <w:bookmarkEnd w:id="70"/>
    <w:bookmarkStart w:id="71" w:name="ref-bivand2022"/>
    <w:p>
      <w:pPr>
        <w:pStyle w:val="Bibliography"/>
      </w:pPr>
      <w:r>
        <w:t xml:space="preserve">Bivand, R., and D. Wong. 2022.</w:t>
      </w:r>
      <w:r>
        <w:t xml:space="preserve"> </w:t>
      </w:r>
      <w:r>
        <w:t xml:space="preserve">“Comparing Implementations of Global and Local Indicators of Spatial Association.”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27: 716–48.</w:t>
      </w:r>
    </w:p>
    <w:bookmarkEnd w:id="71"/>
    <w:bookmarkStart w:id="72" w:name="ref-cliff1981"/>
    <w:p>
      <w:pPr>
        <w:pStyle w:val="Bibliography"/>
      </w:pPr>
      <w:r>
        <w:t xml:space="preserve">Cliff, A. D., and J. K. Ord. 1981.</w:t>
      </w:r>
      <w:r>
        <w:t xml:space="preserve"> </w:t>
      </w:r>
      <w:r>
        <w:t xml:space="preserve">“Spatial Processes: Models and Applications.”</w:t>
      </w:r>
      <w:r>
        <w:t xml:space="preserve"> </w:t>
      </w:r>
      <w:r>
        <w:rPr>
          <w:i/>
          <w:iCs/>
        </w:rPr>
        <w:t xml:space="preserve">Pion, London</w:t>
      </w:r>
      <w:r>
        <w:t xml:space="preserve">.</w:t>
      </w:r>
    </w:p>
    <w:bookmarkEnd w:id="72"/>
    <w:bookmarkStart w:id="74" w:name="ref-faostat2024"/>
    <w:p>
      <w:pPr>
        <w:pStyle w:val="Bibliography"/>
      </w:pPr>
      <w:r>
        <w:t xml:space="preserve">FAO. 2024.</w:t>
      </w:r>
      <w:r>
        <w:t xml:space="preserve"> </w:t>
      </w:r>
      <w:r>
        <w:rPr>
          <w:i/>
          <w:iCs/>
        </w:rPr>
        <w:t xml:space="preserve">FAOSTAT Food Security Indicators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https://www.fao.org/faostat/</w:t>
        </w:r>
      </w:hyperlink>
      <w:r>
        <w:t xml:space="preserve">.</w:t>
      </w:r>
    </w:p>
    <w:bookmarkEnd w:id="74"/>
    <w:bookmarkStart w:id="76" w:name="ref-fao2023"/>
    <w:p>
      <w:pPr>
        <w:pStyle w:val="Bibliography"/>
      </w:pPr>
      <w:r>
        <w:t xml:space="preserve">FAO, IFAD, UNICEF, WFP and WHO. 2023.</w:t>
      </w:r>
      <w:r>
        <w:t xml:space="preserve"> </w:t>
      </w:r>
      <w:r>
        <w:rPr>
          <w:i/>
          <w:iCs/>
        </w:rPr>
        <w:t xml:space="preserve">The State of Food Security and Nutrition in the World 2023: Urbanization, Agrifood Systems Transformation and Healthy Diets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https://www.fao.org/publications/sofi/2023</w:t>
        </w:r>
      </w:hyperlink>
      <w:r>
        <w:t xml:space="preserve">.</w:t>
      </w:r>
    </w:p>
    <w:bookmarkEnd w:id="76"/>
    <w:bookmarkStart w:id="77" w:name="ref-frayne2014"/>
    <w:p>
      <w:pPr>
        <w:pStyle w:val="Bibliography"/>
      </w:pPr>
      <w:r>
        <w:t xml:space="preserve">Frayne, B. et al.</w:t>
      </w:r>
      <w:r>
        <w:t xml:space="preserve"> 2014.</w:t>
      </w:r>
      <w:r>
        <w:t xml:space="preserve"> </w:t>
      </w:r>
      <w:r>
        <w:t xml:space="preserve">“Urban Food Security in Africa.”</w:t>
      </w:r>
      <w:r>
        <w:t xml:space="preserve"> </w:t>
      </w:r>
      <w:r>
        <w:rPr>
          <w:i/>
          <w:iCs/>
        </w:rPr>
        <w:t xml:space="preserve">Urban Forum</w:t>
      </w:r>
      <w:r>
        <w:t xml:space="preserve">.</w:t>
      </w:r>
    </w:p>
    <w:bookmarkEnd w:id="77"/>
    <w:bookmarkStart w:id="79" w:name="ref-gadm2022"/>
    <w:p>
      <w:pPr>
        <w:pStyle w:val="Bibliography"/>
      </w:pPr>
      <w:r>
        <w:t xml:space="preserve">GADM. 2022.</w:t>
      </w:r>
      <w:r>
        <w:t xml:space="preserve"> </w:t>
      </w:r>
      <w:r>
        <w:rPr>
          <w:i/>
          <w:iCs/>
        </w:rPr>
        <w:t xml:space="preserve">Database of Global Administrative Areas V4.1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https://gadm.org</w:t>
        </w:r>
      </w:hyperlink>
      <w:r>
        <w:t xml:space="preserve">.</w:t>
      </w:r>
    </w:p>
    <w:bookmarkEnd w:id="79"/>
    <w:bookmarkStart w:id="81" w:name="ref-hijmans2023"/>
    <w:p>
      <w:pPr>
        <w:pStyle w:val="Bibliography"/>
      </w:pPr>
      <w:r>
        <w:t xml:space="preserve">Hijmans, R. J. 2023.</w:t>
      </w:r>
      <w:r>
        <w:t xml:space="preserve"> </w:t>
      </w:r>
      <w:r>
        <w:rPr>
          <w:i/>
          <w:iCs/>
        </w:rPr>
        <w:t xml:space="preserve">Terra 1.7: New Features for Large-Scale Suitability Mapping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https://CRAN.R-project.org/package=terra</w:t>
        </w:r>
      </w:hyperlink>
      <w:r>
        <w:t xml:space="preserve">.</w:t>
      </w:r>
    </w:p>
    <w:bookmarkEnd w:id="81"/>
    <w:bookmarkStart w:id="82" w:name="ref-moran1950"/>
    <w:p>
      <w:pPr>
        <w:pStyle w:val="Bibliography"/>
      </w:pPr>
      <w:r>
        <w:t xml:space="preserve">Moran, P. A. P. 1950.</w:t>
      </w:r>
      <w:r>
        <w:t xml:space="preserve"> </w:t>
      </w:r>
      <w:r>
        <w:t xml:space="preserve">“Notes on Continuous Stochastic Phenomena.”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37: 17–23.</w:t>
      </w:r>
    </w:p>
    <w:bookmarkEnd w:id="82"/>
    <w:bookmarkStart w:id="83" w:name="ref-muhammed2022"/>
    <w:p>
      <w:pPr>
        <w:pStyle w:val="Bibliography"/>
      </w:pPr>
      <w:r>
        <w:t xml:space="preserve">Muhammed, A. et al.</w:t>
      </w:r>
      <w:r>
        <w:t xml:space="preserve"> 2022.</w:t>
      </w:r>
      <w:r>
        <w:t xml:space="preserve"> </w:t>
      </w:r>
      <w:r>
        <w:t xml:space="preserve">“Fadama Farming and Household Food Security in Northern Nigeria.”</w:t>
      </w:r>
      <w:r>
        <w:t xml:space="preserve"> </w:t>
      </w:r>
      <w:r>
        <w:rPr>
          <w:i/>
          <w:iCs/>
        </w:rPr>
        <w:t xml:space="preserve">Journal of Arid Environments</w:t>
      </w:r>
      <w:r>
        <w:t xml:space="preserve"> </w:t>
      </w:r>
      <w:r>
        <w:t xml:space="preserve">205: 104832.</w:t>
      </w:r>
    </w:p>
    <w:bookmarkEnd w:id="83"/>
    <w:bookmarkStart w:id="85" w:name="ref-nasapower2024"/>
    <w:p>
      <w:pPr>
        <w:pStyle w:val="Bibliography"/>
      </w:pPr>
      <w:r>
        <w:t xml:space="preserve">NASA. 2024.</w:t>
      </w:r>
      <w:r>
        <w:t xml:space="preserve"> </w:t>
      </w:r>
      <w:r>
        <w:rPr>
          <w:i/>
          <w:iCs/>
        </w:rPr>
        <w:t xml:space="preserve">POWER Data Access Viewer — Daily Point (AG Community)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https://power.larc.nasa.gov</w:t>
        </w:r>
      </w:hyperlink>
      <w:r>
        <w:t xml:space="preserve">.</w:t>
      </w:r>
    </w:p>
    <w:bookmarkEnd w:id="85"/>
    <w:bookmarkStart w:id="86" w:name="ref-ogundele2023"/>
    <w:p>
      <w:pPr>
        <w:pStyle w:val="Bibliography"/>
      </w:pPr>
      <w:r>
        <w:t xml:space="preserve">Ogundele, F. et al.</w:t>
      </w:r>
      <w:r>
        <w:t xml:space="preserve"> 2023.</w:t>
      </w:r>
      <w:r>
        <w:t xml:space="preserve"> </w:t>
      </w:r>
      <w:r>
        <w:t xml:space="preserve">“Mapping Urban Agriculture in Lagos Using OpenStreetMap and Remote Sensing.”</w:t>
      </w:r>
      <w:r>
        <w:t xml:space="preserve"> </w:t>
      </w:r>
      <w:r>
        <w:rPr>
          <w:i/>
          <w:iCs/>
        </w:rPr>
        <w:t xml:space="preserve">African Geographical Review</w:t>
      </w:r>
      <w:r>
        <w:t xml:space="preserve"> </w:t>
      </w:r>
      <w:r>
        <w:t xml:space="preserve">42: 45–62.</w:t>
      </w:r>
    </w:p>
    <w:bookmarkEnd w:id="86"/>
    <w:bookmarkStart w:id="87" w:name="ref-olanrewaju2022"/>
    <w:p>
      <w:pPr>
        <w:pStyle w:val="Bibliography"/>
      </w:pPr>
      <w:r>
        <w:t xml:space="preserve">Olanrewaju, O. et al.</w:t>
      </w:r>
      <w:r>
        <w:t xml:space="preserve"> 2022.</w:t>
      </w:r>
      <w:r>
        <w:t xml:space="preserve"> </w:t>
      </w:r>
      <w:r>
        <w:t xml:space="preserve">“Circular Economy and Urban Agriculture: Compost Loops in Nigerian Cities.”</w:t>
      </w:r>
      <w:r>
        <w:t xml:space="preserve"> </w:t>
      </w:r>
      <w:r>
        <w:rPr>
          <w:i/>
          <w:iCs/>
        </w:rPr>
        <w:t xml:space="preserve">Resources, Conservation and Recycling</w:t>
      </w:r>
      <w:r>
        <w:t xml:space="preserve"> </w:t>
      </w:r>
      <w:r>
        <w:t xml:space="preserve">185: 106412.</w:t>
      </w:r>
    </w:p>
    <w:bookmarkEnd w:id="87"/>
    <w:bookmarkStart w:id="89" w:name="ref-openstreetmap2024"/>
    <w:p>
      <w:pPr>
        <w:pStyle w:val="Bibliography"/>
      </w:pPr>
      <w:r>
        <w:t xml:space="preserve">OpenStreetMap contributors. 2024.</w:t>
      </w:r>
      <w:r>
        <w:t xml:space="preserve"> </w:t>
      </w:r>
      <w:r>
        <w:rPr>
          <w:i/>
          <w:iCs/>
        </w:rPr>
        <w:t xml:space="preserve">OpenStreetMap and Overpass API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https://www.openstreetmap.org and https://overpass-api.de</w:t>
        </w:r>
      </w:hyperlink>
      <w:r>
        <w:t xml:space="preserve">.</w:t>
      </w:r>
    </w:p>
    <w:bookmarkEnd w:id="89"/>
    <w:bookmarkStart w:id="90" w:name="ref-orhevba2024"/>
    <w:p>
      <w:pPr>
        <w:pStyle w:val="Bibliography"/>
      </w:pPr>
      <w:r>
        <w:t xml:space="preserve">Orhevba, A. et al.</w:t>
      </w:r>
      <w:r>
        <w:t xml:space="preserve"> 2024.</w:t>
      </w:r>
      <w:r>
        <w:t xml:space="preserve"> </w:t>
      </w:r>
      <w:r>
        <w:t xml:space="preserve">“Urban Agriculture and Food Security in Nigeria: A Review.”</w:t>
      </w:r>
      <w:r>
        <w:t xml:space="preserve"> </w:t>
      </w:r>
      <w:r>
        <w:rPr>
          <w:i/>
          <w:iCs/>
        </w:rPr>
        <w:t xml:space="preserve">Nigerian Journal of Agriculture</w:t>
      </w:r>
      <w:r>
        <w:t xml:space="preserve">.</w:t>
      </w:r>
    </w:p>
    <w:bookmarkEnd w:id="90"/>
    <w:bookmarkStart w:id="91" w:name="ref-pebesma2023"/>
    <w:p>
      <w:pPr>
        <w:pStyle w:val="Bibliography"/>
      </w:pPr>
      <w:r>
        <w:t xml:space="preserve">Pebesma, E., and R. Bivand. 2023.</w:t>
      </w:r>
      <w:r>
        <w:t xml:space="preserve"> </w:t>
      </w:r>
      <w:r>
        <w:t xml:space="preserve">“Spatial Data Science with r: Simple Features and Stars Update 2023.”</w:t>
      </w:r>
      <w:r>
        <w:t xml:space="preserve"> </w:t>
      </w:r>
      <w:r>
        <w:rPr>
          <w:i/>
          <w:iCs/>
        </w:rPr>
        <w:t xml:space="preserve">Journal of Geographical Systems</w:t>
      </w:r>
      <w:r>
        <w:t xml:space="preserve">.</w:t>
      </w:r>
    </w:p>
    <w:bookmarkEnd w:id="91"/>
    <w:bookmarkStart w:id="92" w:name="ref-stackhouse2023"/>
    <w:p>
      <w:pPr>
        <w:pStyle w:val="Bibliography"/>
      </w:pPr>
      <w:r>
        <w:t xml:space="preserve">Stackhouse, P. W. et al.</w:t>
      </w:r>
      <w:r>
        <w:t xml:space="preserve"> 2023.</w:t>
      </w:r>
      <w:r>
        <w:t xml:space="preserve"> </w:t>
      </w:r>
      <w:r>
        <w:t xml:space="preserve">“NASA POWER Agroclimatology Validation for West Africa.”</w:t>
      </w:r>
      <w:r>
        <w:t xml:space="preserve"> </w:t>
      </w:r>
      <w:r>
        <w:rPr>
          <w:i/>
          <w:iCs/>
        </w:rPr>
        <w:t xml:space="preserve">Renewable Energy and Environmental Sustainability</w:t>
      </w:r>
      <w:r>
        <w:t xml:space="preserve"> </w:t>
      </w:r>
      <w:r>
        <w:t xml:space="preserve">8: 12.</w:t>
      </w:r>
    </w:p>
    <w:bookmarkEnd w:id="92"/>
    <w:bookmarkStart w:id="93" w:name="ref-udoh2022"/>
    <w:p>
      <w:pPr>
        <w:pStyle w:val="Bibliography"/>
      </w:pPr>
      <w:r>
        <w:t xml:space="preserve">Udoh, E. et al.</w:t>
      </w:r>
      <w:r>
        <w:t xml:space="preserve"> 2022.</w:t>
      </w:r>
      <w:r>
        <w:t xml:space="preserve"> </w:t>
      </w:r>
      <w:r>
        <w:t xml:space="preserve">“Urban Farming and Household Food Security in Nigerian Cities.”</w:t>
      </w:r>
      <w:r>
        <w:t xml:space="preserve"> </w:t>
      </w:r>
      <w:r>
        <w:rPr>
          <w:i/>
          <w:iCs/>
        </w:rPr>
        <w:t xml:space="preserve">Food Security</w:t>
      </w:r>
      <w:r>
        <w:t xml:space="preserve">.</w:t>
      </w:r>
    </w:p>
    <w:bookmarkEnd w:id="93"/>
    <w:bookmarkStart w:id="94" w:name="ref-undesa2022"/>
    <w:p>
      <w:pPr>
        <w:pStyle w:val="Bibliography"/>
      </w:pPr>
      <w:r>
        <w:t xml:space="preserve">UN DESA Population Division. 2022.</w:t>
      </w:r>
      <w:r>
        <w:t xml:space="preserve"> </w:t>
      </w:r>
      <w:r>
        <w:t xml:space="preserve">“World Urbanization Prospects 2022: Nigeria Profile.”</w:t>
      </w:r>
      <w:r>
        <w:t xml:space="preserve"> </w:t>
      </w:r>
      <w:r>
        <w:rPr>
          <w:i/>
          <w:iCs/>
        </w:rPr>
        <w:t xml:space="preserve">United Nations</w:t>
      </w:r>
      <w:r>
        <w:t xml:space="preserve">.</w:t>
      </w:r>
    </w:p>
    <w:bookmarkEnd w:id="94"/>
    <w:bookmarkStart w:id="96" w:name="ref-worldbank2023"/>
    <w:p>
      <w:pPr>
        <w:pStyle w:val="Bibliography"/>
      </w:pPr>
      <w:r>
        <w:t xml:space="preserve">World Bank. 2023.</w:t>
      </w:r>
      <w:r>
        <w:t xml:space="preserve"> </w:t>
      </w:r>
      <w:r>
        <w:rPr>
          <w:i/>
          <w:iCs/>
        </w:rPr>
        <w:t xml:space="preserve">World Development Indicators 2023: Nigeria at-a-Glance</w:t>
      </w:r>
      <w:r>
        <w:t xml:space="preserve">.</w:t>
      </w:r>
      <w:r>
        <w:t xml:space="preserve"> </w:t>
      </w:r>
      <w:hyperlink r:id="rId95">
        <w:r>
          <w:rPr>
            <w:rStyle w:val="Hyperlink"/>
          </w:rPr>
          <w:t xml:space="preserve">https://data.worldbank.org/country/nigeria</w:t>
        </w:r>
      </w:hyperlink>
      <w:r>
        <w:t xml:space="preserve">.</w:t>
      </w:r>
    </w:p>
    <w:bookmarkEnd w:id="96"/>
    <w:bookmarkStart w:id="98" w:name="ref-worldbank2024"/>
    <w:p>
      <w:pPr>
        <w:pStyle w:val="Bibliography"/>
      </w:pPr>
      <w:r>
        <w:t xml:space="preserve">World Bank. 2024.</w:t>
      </w:r>
      <w:r>
        <w:t xml:space="preserve"> </w:t>
      </w:r>
      <w:r>
        <w:rPr>
          <w:i/>
          <w:iCs/>
        </w:rPr>
        <w:t xml:space="preserve">World Development Indicators: Urban Population, Food Production Index, Prevalence of Undernourishment</w:t>
      </w:r>
      <w:r>
        <w:t xml:space="preserve">.</w:t>
      </w:r>
      <w:r>
        <w:t xml:space="preserve"> </w:t>
      </w:r>
      <w:hyperlink r:id="rId97">
        <w:r>
          <w:rPr>
            <w:rStyle w:val="Hyperlink"/>
          </w:rPr>
          <w:t xml:space="preserve">https://api.worldbank.org/v2/country/NG/indicator/SP.URB.TOTL;AG.PRD.FOOD.XD;SN.ITK.DEFC.ZS</w:t>
        </w:r>
      </w:hyperlink>
      <w:r>
        <w:t xml:space="preserve">.</w:t>
      </w:r>
    </w:p>
    <w:bookmarkEnd w:id="98"/>
    <w:bookmarkStart w:id="99" w:name="ref-zezza2010"/>
    <w:p>
      <w:pPr>
        <w:pStyle w:val="Bibliography"/>
      </w:pPr>
      <w:r>
        <w:t xml:space="preserve">Zezza, A., and L. Tasciotti. 2010.</w:t>
      </w:r>
      <w:r>
        <w:t xml:space="preserve"> </w:t>
      </w:r>
      <w:r>
        <w:t xml:space="preserve">“Urban Agriculture, Poverty and Food Security.”</w:t>
      </w:r>
      <w:r>
        <w:t xml:space="preserve"> </w:t>
      </w:r>
      <w:r>
        <w:rPr>
          <w:i/>
          <w:iCs/>
        </w:rPr>
        <w:t xml:space="preserve">Food Policy</w:t>
      </w:r>
      <w:r>
        <w:t xml:space="preserve"> </w:t>
      </w:r>
      <w:r>
        <w:t xml:space="preserve">35: 265–73.</w:t>
      </w:r>
    </w:p>
    <w:bookmarkEnd w:id="99"/>
    <w:bookmarkEnd w:id="1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Formatting compliance (flyer):</w:t>
      </w:r>
      <w:r>
        <w:t xml:space="preserve"> </w:t>
      </w:r>
      <w:r>
        <w:t xml:space="preserve">Times New Roman 12pt, 1.5 spacing, ≤12 pages, MS Word. Render via</w:t>
      </w:r>
      <w:r>
        <w:t xml:space="preserve"> </w:t>
      </w:r>
      <w:r>
        <w:rPr>
          <w:rStyle w:val="VerbatimChar"/>
        </w:rPr>
        <w:t xml:space="preserve">quarto render manuscript.qmd --to docx</w:t>
      </w:r>
      <w:r>
        <w:t xml:space="preserve"> </w:t>
      </w:r>
      <w:r>
        <w:t xml:space="preserve">and verify page count in Word before emailing to</w:t>
      </w:r>
      <w:r>
        <w:t xml:space="preserve"> </w:t>
      </w:r>
      <w:r>
        <w:rPr>
          <w:rStyle w:val="VerbatimChar"/>
        </w:rPr>
        <w:t xml:space="preserve">fpksstconf2026@gmail.com</w:t>
      </w:r>
      <w:r>
        <w:t xml:space="preserve"> </w:t>
      </w:r>
      <w:r>
        <w:t xml:space="preserve">(abstract 5 Oct 2026, full paper 9 Oct 2026). Fees: Physical ₦13,000 / Virtual ₦10,000 / Students ₦5,000 — First Bank Plc, School Of Science Conference Fpk, 2047116096.</w:t>
      </w:r>
    </w:p>
    <w:p>
      <w:pPr>
        <w:pStyle w:val="BodyText"/>
      </w:pPr>
      <w:r>
        <w:rPr>
          <w:b/>
          <w:bCs/>
        </w:rPr>
        <w:t xml:space="preserve">Reproducibility:</w:t>
      </w:r>
      <w:r>
        <w:t xml:space="preserve"> </w:t>
      </w:r>
      <w:r>
        <w:t xml:space="preserve">All numbers trace to</w:t>
      </w:r>
      <w:r>
        <w:t xml:space="preserve"> </w:t>
      </w:r>
      <w:r>
        <w:rPr>
          <w:rStyle w:val="VerbatimChar"/>
        </w:rPr>
        <w:t xml:space="preserve">data/raw/provenance.json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scripts/fetch_*.py</w:t>
      </w:r>
      <w:r>
        <w:t xml:space="preserve">.</w:t>
      </w:r>
    </w:p>
    <w:bookmarkEnd w:id="101"/>
    <w:sectPr>
      <w:footnotePr>
        <w:numRestart w:val="eachSect"/>
      </w:footnotePr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Times New Roman"/>
        <w:sz w:val="24"/>
        <w:szCs w:val="24"/>
        <w:lang w:bidi="ar-SA" w:eastAsia="zh-CN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/>
      <w:sz w:val="24"/>
      <w:szCs w:val="24"/>
    </w:rPr>
    <w:pPr>
      <w:spacing w:after="0" w:line="360" w:lineRule="auto"/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32" Target="media/rId32.png" /><Relationship Type="http://schemas.openxmlformats.org/officeDocument/2006/relationships/image" Id="rId40" Target="media/rId40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hyperlink" Id="rId80" Target="https://CRAN.R-project.org/package=terra" TargetMode="External" /><Relationship Type="http://schemas.openxmlformats.org/officeDocument/2006/relationships/hyperlink" Id="rId97" Target="https://api.worldbank.org/v2/country/NG/indicator/SP.URB.TOTL;AG.PRD.FOOD.XD;SN.ITK.DEFC.ZS" TargetMode="External" /><Relationship Type="http://schemas.openxmlformats.org/officeDocument/2006/relationships/hyperlink" Id="rId95" Target="https://data.worldbank.org/country/nigeria" TargetMode="External" /><Relationship Type="http://schemas.openxmlformats.org/officeDocument/2006/relationships/hyperlink" Id="rId66" Target="https://doi.org/10.1111/j.1538-4632.1995.tb00338.x" TargetMode="External" /><Relationship Type="http://schemas.openxmlformats.org/officeDocument/2006/relationships/hyperlink" Id="rId78" Target="https://gadm.org" TargetMode="External" /><Relationship Type="http://schemas.openxmlformats.org/officeDocument/2006/relationships/hyperlink" Id="rId84" Target="https://power.larc.nasa.gov" TargetMode="External" /><Relationship Type="http://schemas.openxmlformats.org/officeDocument/2006/relationships/hyperlink" Id="rId73" Target="https://www.fao.org/faostat/" TargetMode="External" /><Relationship Type="http://schemas.openxmlformats.org/officeDocument/2006/relationships/hyperlink" Id="rId75" Target="https://www.fao.org/publications/sofi/2023" TargetMode="External" /><Relationship Type="http://schemas.openxmlformats.org/officeDocument/2006/relationships/hyperlink" Id="rId88" Target="https://www.openstreetmap.org and https://overpass-api.d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https://CRAN.R-project.org/package=terra" TargetMode="External" /><Relationship Type="http://schemas.openxmlformats.org/officeDocument/2006/relationships/hyperlink" Id="rId97" Target="https://api.worldbank.org/v2/country/NG/indicator/SP.URB.TOTL;AG.PRD.FOOD.XD;SN.ITK.DEFC.ZS" TargetMode="External" /><Relationship Type="http://schemas.openxmlformats.org/officeDocument/2006/relationships/hyperlink" Id="rId95" Target="https://data.worldbank.org/country/nigeria" TargetMode="External" /><Relationship Type="http://schemas.openxmlformats.org/officeDocument/2006/relationships/hyperlink" Id="rId66" Target="https://doi.org/10.1111/j.1538-4632.1995.tb00338.x" TargetMode="External" /><Relationship Type="http://schemas.openxmlformats.org/officeDocument/2006/relationships/hyperlink" Id="rId78" Target="https://gadm.org" TargetMode="External" /><Relationship Type="http://schemas.openxmlformats.org/officeDocument/2006/relationships/hyperlink" Id="rId84" Target="https://power.larc.nasa.gov" TargetMode="External" /><Relationship Type="http://schemas.openxmlformats.org/officeDocument/2006/relationships/hyperlink" Id="rId73" Target="https://www.fao.org/faostat/" TargetMode="External" /><Relationship Type="http://schemas.openxmlformats.org/officeDocument/2006/relationships/hyperlink" Id="rId75" Target="https://www.fao.org/publications/sofi/2023" TargetMode="External" /><Relationship Type="http://schemas.openxmlformats.org/officeDocument/2006/relationships/hyperlink" Id="rId88" Target="https://www.openstreetmap.org and https://overpass-api.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Urban Agriculture and Urban Food Security in Nigeria: A Spatial Statistics Perspective</dc:title>
  <dc:creator>Yohanna — batestguy (presenting author)</dc:creator>
  <cp:keywords>urban agriculture, urban food security, Moran’s I, LISA, climate-smart agriculture, Nigeria</cp:keywords>
  <dcterms:created xsi:type="dcterms:W3CDTF">2026-08-26T03:32:41Z</dcterms:created>
  <dcterms:modified xsi:type="dcterms:W3CDTF">2026-08-26T03:32:41Z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Urban agriculture is promoted as a climate-smart lever for food security, yet its spatial pattern and local food-security linkage remain under-quantified in Nigeria. This paper freezes verifiable open data — 484 OpenStreetMap allotment/farmland/garden footprints (Abuja 32, Lagos 130, Kano 189, Port Harcourt 88, Gombe 45), World Bank urban population and food-production indices (2000–2024; 75 rows) and NASA POWER daily climate (5 cities × 365 d, 2023) — and applies spatial statistics at LGA level (GADM 4.1, 775 LGAs). Global Moran’s I on urban-agriculture counts is 0.158 (z=8.47, p&lt;0.001) and on density (points km⁻²) is 0.300 (z=17.6, p&lt;0.001), indicating strong spatial clustering. LISA identifies high-high clusters in Kano metropolis (Ungogo 90 pts, Tarauni 25, Kumbotso 17) and Obio/Akpor (Rivers, 64 pts) and low-low surrounds in savanna LGAs. Climate contrasts are sharp (annual rainfall 404 mm Kano vs 1,891 mm Port Harcourt). Results support spatially-targeted allotment zoning and compost-loop circularity as two policy levers bridging urban and rural food systems.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uthor">
    <vt:lpwstr/>
  </property>
  <property fmtid="{D5CDD505-2E9C-101B-9397-08002B2CF9AE}" pid="7" name="date">
    <vt:lpwstr>26 August 2026</vt:lpwstr>
  </property>
  <property fmtid="{D5CDD505-2E9C-101B-9397-08002B2CF9AE}" pid="8" name="date-format">
    <vt:lpwstr>D MMMM YYYY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Federal Polytechnic Kaltungo — 2nd Annual National Multidisciplinary Conference 2026 (Sub-theme 6: Climate-Smart Agriculture, Food Security and Rural Transformation; Secondary: 10 GIS &amp; Urban Planning, 13 Circular Economy &amp; Environmental Sustainability)</vt:lpwstr>
  </property>
  <property fmtid="{D5CDD505-2E9C-101B-9397-08002B2CF9AE}" pid="15" name="toc-title">
    <vt:lpwstr>Table of contents</vt:lpwstr>
  </property>
</Properties>
</file>