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65"/>
          <w:sz w:val="32"/>
        </w:rPr>
        <w:t>DATABEAT</w:t>
      </w:r>
      <w:r>
        <w:rPr>
          <w:color w:val="5B6B73"/>
          <w:sz w:val="22"/>
        </w:rPr>
        <w:t xml:space="preserve">   |   Prepared for TIME</w:t>
      </w:r>
    </w:p>
    <w:p>
      <w:pPr>
        <w:spacing w:before="120" w:after="60"/>
      </w:pPr>
      <w:r>
        <w:rPr>
          <w:b/>
          <w:color w:val="0B5C65"/>
          <w:sz w:val="40"/>
        </w:rPr>
        <w:t>PG/PD Incremental Revenue Model</w:t>
      </w:r>
    </w:p>
    <w:p>
      <w:pPr>
        <w:spacing w:after="100"/>
      </w:pPr>
      <w:r>
        <w:rPr>
          <w:b w:val="0"/>
          <w:i/>
          <w:color w:val="1F2A30"/>
          <w:sz w:val="22"/>
        </w:rPr>
        <w:t>The actual monthly uplift from shifting programmatic inventory into Preferred Deals / Programmatic Guaranteed, by section and slot. US inventory · high-value (target) slots · Jan–May 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10224"/>
      </w:tblGrid>
      <w:tr>
        <w:tc>
          <w:tcPr>
            <w:tcW w:type="dxa" w:w="10224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Bottom line:  </w:t>
            </w:r>
            <w:r>
              <w:rPr>
                <w:color w:val="1F2A30"/>
                <w:sz w:val="22"/>
              </w:rPr>
              <w:t>converting 10% of programmatic impressions in these high-value section/slot pairs into PG/PD at $8–$10 generates $16,723–$22,734 in incremental revenue per month (~$200,681–$272,811/yr) — on 3,005,399 shifted impressions/month that currently clear at just $2.44.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B5C65"/>
          <w:sz w:val="26"/>
        </w:rPr>
        <w:t>Incremental Revenue by Section × Slot  (Base case: 10% shift)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00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656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Slot</w:t>
            </w:r>
          </w:p>
        </w:tc>
        <w:tc>
          <w:tcPr>
            <w:tcW w:type="dxa" w:w="180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Current prog.</w:t>
              <w:br/>
              <w:t>impressions (mo)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Current</w:t>
              <w:br/>
              <w:t>prog. eCPM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Proposed</w:t>
              <w:br/>
              <w:t>PG/PD eCPM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%</w:t>
              <w:br/>
              <w:t>shifted</w:t>
            </w:r>
          </w:p>
        </w:tc>
        <w:tc>
          <w:tcPr>
            <w:tcW w:type="dxa" w:w="223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Incremental</w:t>
              <w:br/>
              <w:t>monthly revenue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Entertainment</w:t>
            </w:r>
          </w:p>
        </w:tc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stickyfooter1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9,482,169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$1.92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$5,765–$7,662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Entertainment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inline1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2,326,181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$2.93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$1,179–$1,645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Entertainment</w:t>
            </w:r>
          </w:p>
        </w:tc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inline2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2,184,060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$2.64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$1,171–$1,607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Entertainment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inline3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2,003,865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$2.55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$1,092–$1,493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Entertainment</w:t>
            </w:r>
          </w:p>
        </w:tc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rightrail1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969,356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$2.88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$496–$690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  <w:t>Entertainment subtotal</w:t>
            </w:r>
          </w:p>
        </w:tc>
        <w:tc>
          <w:tcPr>
            <w:tcW w:type="dxa" w:w="1656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0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16,965,631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$2.28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$8–$10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10%</w:t>
            </w:r>
          </w:p>
        </w:tc>
        <w:tc>
          <w:tcPr>
            <w:tcW w:type="dxa" w:w="223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$9,704–$13,097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Health</w:t>
            </w:r>
          </w:p>
        </w:tc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stickyfooter1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4,037,034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$2.53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$2,208–$3,016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Health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inline3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986,088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$4.11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$384–$581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  <w:t>Health subtotal</w:t>
            </w:r>
          </w:p>
        </w:tc>
        <w:tc>
          <w:tcPr>
            <w:tcW w:type="dxa" w:w="1656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0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5,023,122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$2.84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$8–$10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10%</w:t>
            </w:r>
          </w:p>
        </w:tc>
        <w:tc>
          <w:tcPr>
            <w:tcW w:type="dxa" w:w="223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$2,592–$3,596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Science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stickyfooter1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401,265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$2.65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$215–$295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Science</w:t>
            </w:r>
          </w:p>
        </w:tc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inline1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256,049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$3.19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$123–$174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Science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inline2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209,279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$2.89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$107–$149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Science</w:t>
            </w:r>
          </w:p>
        </w:tc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inline3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156,205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$2.77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$82–$113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Science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rightrail1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114,289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$3.06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$56–$79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  <w:t>Science subtotal</w:t>
            </w:r>
          </w:p>
        </w:tc>
        <w:tc>
          <w:tcPr>
            <w:tcW w:type="dxa" w:w="1656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0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1,137,086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$2.87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$8–$10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10%</w:t>
            </w:r>
          </w:p>
        </w:tc>
        <w:tc>
          <w:tcPr>
            <w:tcW w:type="dxa" w:w="223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$583–$810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Tech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stickyfooter1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545,072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$2.62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$293–$402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  <w:t>Tech subtotal</w:t>
            </w:r>
          </w:p>
        </w:tc>
        <w:tc>
          <w:tcPr>
            <w:tcW w:type="dxa" w:w="1656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0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545,072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$2.62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$8–$10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10%</w:t>
            </w:r>
          </w:p>
        </w:tc>
        <w:tc>
          <w:tcPr>
            <w:tcW w:type="dxa" w:w="223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$293–$402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U.S.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stickyfooter1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3,845,660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$2.13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$2,257–$3,027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U.S.</w:t>
            </w:r>
          </w:p>
        </w:tc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inline1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866,202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$3.22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$414–$587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U.S.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inline2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663,860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$2.85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$342–$475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U.S.</w:t>
            </w:r>
          </w:p>
        </w:tc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rightrail1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535,477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$2.65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$286–$394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U.S.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inline3</w:t>
            </w:r>
          </w:p>
        </w:tc>
        <w:tc>
          <w:tcPr>
            <w:tcW w:type="dxa" w:w="180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471,880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$2.66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$8–$10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23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$252–$346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  <w:t>U.S. subtotal</w:t>
            </w:r>
          </w:p>
        </w:tc>
        <w:tc>
          <w:tcPr>
            <w:tcW w:type="dxa" w:w="1656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0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6,383,079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$2.44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$8–$10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10%</w:t>
            </w:r>
          </w:p>
        </w:tc>
        <w:tc>
          <w:tcPr>
            <w:tcW w:type="dxa" w:w="223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8"/>
              </w:rPr>
              <w:t>$3,552–$4,828</w:t>
            </w:r>
          </w:p>
        </w:tc>
      </w:tr>
      <w:tr>
        <w:tc>
          <w:tcPr>
            <w:tcW w:type="dxa" w:w="1800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ALL TARGETS</w:t>
            </w:r>
          </w:p>
        </w:tc>
        <w:tc>
          <w:tcPr>
            <w:tcW w:type="dxa" w:w="1656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80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8"/>
              </w:rPr>
              <w:t>30,053,990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8"/>
              </w:rPr>
              <w:t>$2.44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8"/>
              </w:rPr>
              <w:t>$8–$10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8"/>
              </w:rPr>
              <w:t>10%</w:t>
            </w:r>
          </w:p>
        </w:tc>
        <w:tc>
          <w:tcPr>
            <w:tcW w:type="dxa" w:w="223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8"/>
              </w:rPr>
              <w:t>$16,723–$22,734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i/>
          <w:color w:val="5B6B73"/>
          <w:sz w:val="18"/>
        </w:rPr>
        <w:t>Formula:  incremental revenue = (shifted impressions ÷ 1000) × (PG/PD eCPM − current programmatic eCPM). “Current programmatic impressions” are monthly (period ÷ 5). Range reflects PG/PD at $8 (low) to $10 (high).</w:t>
      </w:r>
    </w:p>
    <w:p>
      <w:pPr>
        <w:spacing w:before="240" w:after="60"/>
      </w:pPr>
      <w:r>
        <w:rPr>
          <w:b/>
          <w:color w:val="0B5C65"/>
          <w:sz w:val="26"/>
        </w:rPr>
        <w:t>Three Scenarios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3408"/>
        <w:gridCol w:w="3408"/>
        <w:gridCol w:w="3408"/>
      </w:tblGrid>
      <w:tr>
        <w:tc>
          <w:tcPr>
            <w:tcW w:type="dxa" w:w="3744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1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Incremental monthly revenue</w:t>
            </w:r>
          </w:p>
        </w:tc>
        <w:tc>
          <w:tcPr>
            <w:tcW w:type="dxa" w:w="31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Annualized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20"/>
              </w:rPr>
              <w:t>Low case — 5% shift</w:t>
            </w:r>
          </w:p>
        </w:tc>
        <w:tc>
          <w:tcPr>
            <w:tcW w:type="dxa" w:w="31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$8,362–$11,367</w:t>
            </w:r>
          </w:p>
        </w:tc>
        <w:tc>
          <w:tcPr>
            <w:tcW w:type="dxa" w:w="31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$100,341–$136,405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20"/>
              </w:rPr>
              <w:t>Base case — 10% shift</w:t>
            </w:r>
          </w:p>
        </w:tc>
        <w:tc>
          <w:tcPr>
            <w:tcW w:type="dxa" w:w="31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$16,723–$22,734</w:t>
            </w:r>
          </w:p>
        </w:tc>
        <w:tc>
          <w:tcPr>
            <w:tcW w:type="dxa" w:w="31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$200,681–$272,811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20"/>
              </w:rPr>
              <w:t>High case — 15% shift</w:t>
            </w:r>
          </w:p>
        </w:tc>
        <w:tc>
          <w:tcPr>
            <w:tcW w:type="dxa" w:w="31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$25,085–$34,101</w:t>
            </w:r>
          </w:p>
        </w:tc>
        <w:tc>
          <w:tcPr>
            <w:tcW w:type="dxa" w:w="31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$301,022–$409,216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B5C65"/>
          <w:sz w:val="26"/>
        </w:rPr>
        <w:t>30 / 60 / 90-Day Ramp</w:t>
      </w:r>
    </w:p>
    <w:p>
      <w:pPr>
        <w:spacing w:after="100"/>
      </w:pPr>
      <w:r>
        <w:rPr>
          <w:b w:val="0"/>
          <w:i w:val="0"/>
          <w:color w:val="1F2A30"/>
          <w:sz w:val="21"/>
        </w:rPr>
        <w:t>Monica asked for a phased build, not instant impact — activation scales over roughly a quarter: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2304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16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% inventory activated</w:t>
            </w:r>
          </w:p>
        </w:tc>
        <w:tc>
          <w:tcPr>
            <w:tcW w:type="dxa" w:w="2736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Estimated PG/PD revenue / mo</w:t>
            </w:r>
          </w:p>
        </w:tc>
        <w:tc>
          <w:tcPr>
            <w:tcW w:type="dxa" w:w="2736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Incremental uplift / mo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30 days</w:t>
            </w:r>
          </w:p>
        </w:tc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Small pilot</w:t>
            </w:r>
          </w:p>
        </w:tc>
        <w:tc>
          <w:tcPr>
            <w:tcW w:type="dxa" w:w="216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9"/>
              </w:rPr>
              <w:t>5%</w:t>
            </w:r>
          </w:p>
        </w:tc>
        <w:tc>
          <w:tcPr>
            <w:tcW w:type="dxa" w:w="273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9"/>
              </w:rPr>
              <w:t>$12,022–$15,027</w:t>
            </w:r>
          </w:p>
        </w:tc>
        <w:tc>
          <w:tcPr>
            <w:tcW w:type="dxa" w:w="273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9"/>
              </w:rPr>
              <w:t>$8,362–$11,367</w:t>
            </w:r>
          </w:p>
        </w:tc>
      </w:tr>
      <w:tr>
        <w:tc>
          <w:tcPr>
            <w:tcW w:type="dxa" w:w="144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60 days</w:t>
            </w:r>
          </w:p>
        </w:tc>
        <w:tc>
          <w:tcPr>
            <w:tcW w:type="dxa" w:w="230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Broader rollout</w:t>
            </w:r>
          </w:p>
        </w:tc>
        <w:tc>
          <w:tcPr>
            <w:tcW w:type="dxa" w:w="216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73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9"/>
              </w:rPr>
              <w:t>$24,043–$30,054</w:t>
            </w:r>
          </w:p>
        </w:tc>
        <w:tc>
          <w:tcPr>
            <w:tcW w:type="dxa" w:w="273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9"/>
              </w:rPr>
              <w:t>$16,723–$22,734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90 days</w:t>
            </w:r>
          </w:p>
        </w:tc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Scaled rollout</w:t>
            </w:r>
          </w:p>
        </w:tc>
        <w:tc>
          <w:tcPr>
            <w:tcW w:type="dxa" w:w="216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273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9"/>
              </w:rPr>
              <w:t>$36,065–$45,081</w:t>
            </w:r>
          </w:p>
        </w:tc>
        <w:tc>
          <w:tcPr>
            <w:tcW w:type="dxa" w:w="273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9"/>
              </w:rPr>
              <w:t>$25,085–$34,101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10224"/>
      </w:tblGrid>
      <w:tr>
        <w:tc>
          <w:tcPr>
            <w:tcW w:type="dxa" w:w="10224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One-line answer for Monica:  </w:t>
            </w:r>
            <w:r>
              <w:rPr>
                <w:color w:val="1F2A30"/>
                <w:sz w:val="22"/>
              </w:rPr>
              <w:t>“Convert 10% of today’s programmatic impressions in our high-value section/slot pairs into PG/PD at $8–$10 and we add $16,723–$22,734 per month (~$200,681–$272,811/yr), phased over 30/60/90 days — these impressions clear at ~$2.44 today.”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i/>
          <w:color w:val="5B6B73"/>
          <w:sz w:val="16"/>
        </w:rPr>
        <w:t>Method: 18 high-value slots (programmatic share ≥ 60% and direct share ≤ 35%) across 5 sections, US, Jan–May 2026 (5 months). Impressions and eCPMs from GAM; every figure reconciled to grand totals. Direct-heavy slots (leaderboard1 and most of Tech) are excluded and reserved for the sales team. World &amp; Politics not in this dataset (additive). Prepared by Databeat for TIME.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