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</w:pPr>
      <w:r>
        <w:rPr>
          <w:b/>
          <w:color w:val="0B5C65"/>
          <w:sz w:val="36"/>
        </w:rPr>
        <w:t>DATABEAT</w:t>
      </w:r>
      <w:r>
        <w:rPr>
          <w:color w:val="5B6B73"/>
          <w:sz w:val="24"/>
        </w:rPr>
        <w:t xml:space="preserve">   |   Prepared for TIME</w:t>
      </w:r>
    </w:p>
    <w:p>
      <w:pPr>
        <w:spacing w:before="320" w:after="80"/>
      </w:pPr>
      <w:r>
        <w:rPr>
          <w:b/>
          <w:color w:val="0B5C65"/>
          <w:sz w:val="48"/>
        </w:rPr>
        <w:t>PG/PD Incremental Revenue Model</w:t>
      </w:r>
    </w:p>
    <w:p>
      <w:r>
        <w:rPr>
          <w:i/>
          <w:color w:val="1F2A30"/>
          <w:sz w:val="24"/>
        </w:rPr>
        <w:t>How much additional revenue TIME can generate by converting a share of open-auction programmatic impressions into Preferred Deals / Programmatic Guaranteed (US inventory)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0F7D88"/>
          <w:left w:val="single" w:sz="12" w:space="0" w:color="0F7D88"/>
          <w:bottom w:val="single" w:sz="12" w:space="0" w:color="0F7D88"/>
          <w:right w:val="single" w:sz="12" w:space="0" w:color="0F7D88"/>
          <w:insideH w:val="single" w:sz="12" w:space="0" w:color="0F7D88"/>
          <w:insideV w:val="single" w:sz="12" w:space="0" w:color="0F7D88"/>
        </w:tblBorders>
      </w:tblPr>
      <w:tblGrid>
        <w:gridCol w:w="8640"/>
      </w:tblGrid>
      <w:tr>
        <w:tc>
          <w:tcPr>
            <w:tcW w:type="dxa" w:w="8640"/>
            <w:shd w:val="clear" w:fill="E8F4F5"/>
          </w:tcPr>
          <w:p>
            <w:pPr>
              <w:spacing w:before="120" w:after="120"/>
            </w:pPr>
            <w:r/>
            <w:r>
              <w:rPr>
                <w:b/>
                <w:color w:val="0B5C65"/>
                <w:sz w:val="23"/>
              </w:rPr>
              <w:t xml:space="preserve">Bottom line:  </w:t>
            </w:r>
            <w:r>
              <w:rPr>
                <w:color w:val="1F2A30"/>
                <w:sz w:val="22"/>
              </w:rPr>
              <w:t>across Entertainment, U.S., Health and Science &amp; Tech, the top-6 ad slots serve about 10.4M programmatic impressions per month that earn only $29,380/month today (~$2.83 eCPM). Converting 10% of that inventory into PG/PD at $8–$10 generates $8,293–$10,366/month versus $2,938 today — an incremental $5,355–$7,428/month (~$64,254–$89,132/year), built gradually over 30/60/90 days.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b/>
          <w:color w:val="0B5C65"/>
          <w:sz w:val="26"/>
        </w:rPr>
        <w:t>Scope &amp; Method</w:t>
      </w:r>
    </w:p>
    <w:p>
      <w:pPr>
        <w:pStyle w:val="ListBullet"/>
        <w:spacing w:after="60"/>
      </w:pPr>
      <w:r>
        <w:rPr>
          <w:b/>
          <w:color w:val="0B5C65"/>
          <w:sz w:val="22"/>
        </w:rPr>
        <w:t xml:space="preserve">What — </w:t>
      </w:r>
      <w:r>
        <w:rPr>
          <w:color w:val="1F2A30"/>
          <w:sz w:val="22"/>
        </w:rPr>
        <w:t>U.S. inventory, top-6 high-impact ad slots (stickyfooter1, leaderboard1, inline1–3, rightrail1).</w:t>
      </w:r>
    </w:p>
    <w:p>
      <w:pPr>
        <w:pStyle w:val="ListBullet"/>
        <w:spacing w:after="60"/>
      </w:pPr>
      <w:r>
        <w:rPr>
          <w:b/>
          <w:color w:val="0B5C65"/>
          <w:sz w:val="22"/>
        </w:rPr>
        <w:t xml:space="preserve">Period — </w:t>
      </w:r>
      <w:r>
        <w:rPr>
          <w:color w:val="1F2A30"/>
          <w:sz w:val="22"/>
        </w:rPr>
        <w:t>Google Ad Manager, January–May 2026 (5 months); monthly figures = period ÷ 5. June 2026 excluded (a CPD deal was mis-booked as CPM).</w:t>
      </w:r>
    </w:p>
    <w:p>
      <w:pPr>
        <w:pStyle w:val="ListBullet"/>
        <w:spacing w:after="60"/>
      </w:pPr>
      <w:r>
        <w:rPr>
          <w:b/>
          <w:color w:val="0B5C65"/>
          <w:sz w:val="22"/>
        </w:rPr>
        <w:t xml:space="preserve">Assumptions — </w:t>
      </w:r>
      <w:r>
        <w:rPr>
          <w:color w:val="1F2A30"/>
          <w:sz w:val="22"/>
        </w:rPr>
        <w:t>shift = share of programmatic impressions re-sold as PG/PD. PG/PD priced at a fixed $8 and $10 eCPM. Scenarios: 5% / 10% / 15%.</w:t>
      </w:r>
    </w:p>
    <w:p>
      <w:pPr>
        <w:pStyle w:val="ListBullet"/>
        <w:spacing w:after="60"/>
      </w:pPr>
      <w:r>
        <w:rPr>
          <w:b/>
          <w:color w:val="0B5C65"/>
          <w:sz w:val="22"/>
        </w:rPr>
        <w:t xml:space="preserve">Formula — </w:t>
      </w:r>
      <w:r>
        <w:rPr>
          <w:color w:val="1F2A30"/>
          <w:sz w:val="22"/>
        </w:rPr>
        <w:t>incremental revenue = (shifted impressions ÷ 1000) × (PG/PD eCPM − current programmatic eCPM).</w:t>
      </w:r>
    </w:p>
    <w:p>
      <w:pPr>
        <w:spacing w:before="280" w:after="80"/>
      </w:pPr>
      <w:r>
        <w:rPr>
          <w:b/>
          <w:color w:val="0B5C65"/>
          <w:sz w:val="26"/>
        </w:rPr>
        <w:t>1.  Current State — Average Monthly Programmatic Inventory</w:t>
      </w:r>
    </w:p>
    <w:p>
      <w:pPr>
        <w:spacing w:after="120"/>
      </w:pPr>
      <w:r>
        <w:rPr>
          <w:b w:val="0"/>
          <w:i w:val="0"/>
          <w:color w:val="1F2A30"/>
          <w:sz w:val="22"/>
        </w:rPr>
        <w:t>These are the average monthly programmatic impressions on the top-6 slots for each section, and what they earn today at current open-auction eCPMs. Direct sales on the same sections clear far higher — shown for reference — which is exactly why PG/PD at $8–$10 is realistic and non-cannibalizing.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9D2D4"/>
          <w:left w:val="single" w:sz="6" w:space="0" w:color="C9D2D4"/>
          <w:bottom w:val="single" w:sz="6" w:space="0" w:color="C9D2D4"/>
          <w:right w:val="single" w:sz="6" w:space="0" w:color="C9D2D4"/>
          <w:insideH w:val="single" w:sz="6" w:space="0" w:color="C9D2D4"/>
          <w:insideV w:val="single" w:sz="6" w:space="0" w:color="C9D2D4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736"/>
            <w:shd w:val="clear" w:fill="0B5C65"/>
          </w:tcPr>
          <w:p>
            <w:pPr>
              <w:spacing w:after="40" w:before="40"/>
              <w:jc w:val="left"/>
            </w:pPr>
            <w:r/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3024"/>
            <w:shd w:val="clear" w:fill="0B5C65"/>
          </w:tcPr>
          <w:p>
            <w:pPr>
              <w:spacing w:after="40" w:before="40"/>
              <w:jc w:val="right"/>
            </w:pPr>
            <w:r/>
            <w:r>
              <w:rPr>
                <w:b/>
                <w:color w:val="FFFFFF"/>
                <w:sz w:val="18"/>
              </w:rPr>
              <w:t>Avg monthly prog. impressions</w:t>
            </w:r>
          </w:p>
        </w:tc>
        <w:tc>
          <w:tcPr>
            <w:tcW w:type="dxa" w:w="1872"/>
            <w:shd w:val="clear" w:fill="0B5C65"/>
          </w:tcPr>
          <w:p>
            <w:pPr>
              <w:spacing w:after="40" w:before="40"/>
              <w:jc w:val="right"/>
            </w:pPr>
            <w:r/>
            <w:r>
              <w:rPr>
                <w:b/>
                <w:color w:val="FFFFFF"/>
                <w:sz w:val="18"/>
              </w:rPr>
              <w:t>Current prog. eCPM</w:t>
            </w:r>
          </w:p>
        </w:tc>
        <w:tc>
          <w:tcPr>
            <w:tcW w:type="dxa" w:w="2304"/>
            <w:shd w:val="clear" w:fill="0B5C65"/>
          </w:tcPr>
          <w:p>
            <w:pPr>
              <w:spacing w:after="40" w:before="40"/>
              <w:jc w:val="right"/>
            </w:pPr>
            <w:r/>
            <w:r>
              <w:rPr>
                <w:b/>
                <w:color w:val="FFFFFF"/>
                <w:sz w:val="18"/>
              </w:rPr>
              <w:t>Current revenue / month</w:t>
            </w:r>
          </w:p>
        </w:tc>
        <w:tc>
          <w:tcPr>
            <w:tcW w:type="dxa" w:w="1872"/>
            <w:shd w:val="clear" w:fill="0B5C65"/>
          </w:tcPr>
          <w:p>
            <w:pPr>
              <w:spacing w:after="40" w:before="40"/>
              <w:jc w:val="right"/>
            </w:pPr>
            <w:r/>
            <w:r>
              <w:rPr>
                <w:b/>
                <w:color w:val="FFFFFF"/>
                <w:sz w:val="18"/>
              </w:rPr>
              <w:t>Direct eCPM (ref.)</w:t>
            </w:r>
          </w:p>
        </w:tc>
      </w:tr>
      <w:tr>
        <w:tc>
          <w:tcPr>
            <w:tcW w:type="dxa" w:w="2736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Entertainment</w:t>
            </w:r>
          </w:p>
        </w:tc>
        <w:tc>
          <w:tcPr>
            <w:tcW w:type="dxa" w:w="3024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4,567,001</w:t>
            </w:r>
          </w:p>
        </w:tc>
        <w:tc>
          <w:tcPr>
            <w:tcW w:type="dxa" w:w="1872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$2.36</w:t>
            </w:r>
          </w:p>
        </w:tc>
        <w:tc>
          <w:tcPr>
            <w:tcW w:type="dxa" w:w="2304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$10,759</w:t>
            </w:r>
          </w:p>
        </w:tc>
        <w:tc>
          <w:tcPr>
            <w:tcW w:type="dxa" w:w="1872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$16.80</w:t>
            </w:r>
          </w:p>
        </w:tc>
      </w:tr>
      <w:tr>
        <w:tc>
          <w:tcPr>
            <w:tcW w:type="dxa" w:w="2736"/>
            <w:shd w:val="clear" w:fill="F7FA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U.S.</w:t>
            </w:r>
          </w:p>
        </w:tc>
        <w:tc>
          <w:tcPr>
            <w:tcW w:type="dxa" w:w="3024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3,113,794</w:t>
            </w:r>
          </w:p>
        </w:tc>
        <w:tc>
          <w:tcPr>
            <w:tcW w:type="dxa" w:w="1872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$2.63</w:t>
            </w:r>
          </w:p>
        </w:tc>
        <w:tc>
          <w:tcPr>
            <w:tcW w:type="dxa" w:w="2304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$8,174</w:t>
            </w:r>
          </w:p>
        </w:tc>
        <w:tc>
          <w:tcPr>
            <w:tcW w:type="dxa" w:w="1872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$19.20</w:t>
            </w:r>
          </w:p>
        </w:tc>
      </w:tr>
      <w:tr>
        <w:tc>
          <w:tcPr>
            <w:tcW w:type="dxa" w:w="2736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Health</w:t>
            </w:r>
          </w:p>
        </w:tc>
        <w:tc>
          <w:tcPr>
            <w:tcW w:type="dxa" w:w="3024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2,017,164</w:t>
            </w:r>
          </w:p>
        </w:tc>
        <w:tc>
          <w:tcPr>
            <w:tcW w:type="dxa" w:w="1872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$4.04</w:t>
            </w:r>
          </w:p>
        </w:tc>
        <w:tc>
          <w:tcPr>
            <w:tcW w:type="dxa" w:w="2304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$8,152</w:t>
            </w:r>
          </w:p>
        </w:tc>
        <w:tc>
          <w:tcPr>
            <w:tcW w:type="dxa" w:w="1872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$23.80</w:t>
            </w:r>
          </w:p>
        </w:tc>
      </w:tr>
      <w:tr>
        <w:tc>
          <w:tcPr>
            <w:tcW w:type="dxa" w:w="2736"/>
            <w:shd w:val="clear" w:fill="F7FA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Science &amp; Tech</w:t>
            </w:r>
          </w:p>
        </w:tc>
        <w:tc>
          <w:tcPr>
            <w:tcW w:type="dxa" w:w="3024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667,699</w:t>
            </w:r>
          </w:p>
        </w:tc>
        <w:tc>
          <w:tcPr>
            <w:tcW w:type="dxa" w:w="1872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$3.44</w:t>
            </w:r>
          </w:p>
        </w:tc>
        <w:tc>
          <w:tcPr>
            <w:tcW w:type="dxa" w:w="2304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$2,295</w:t>
            </w:r>
          </w:p>
        </w:tc>
        <w:tc>
          <w:tcPr>
            <w:tcW w:type="dxa" w:w="1872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$30.00</w:t>
            </w:r>
          </w:p>
        </w:tc>
      </w:tr>
      <w:tr>
        <w:tc>
          <w:tcPr>
            <w:tcW w:type="dxa" w:w="2736"/>
            <w:shd w:val="clear" w:fill="E8F4F5"/>
          </w:tcPr>
          <w:p>
            <w:pPr>
              <w:spacing w:after="40" w:before="40"/>
              <w:jc w:val="left"/>
            </w:pPr>
            <w:r/>
            <w:r>
              <w:rPr>
                <w:b/>
                <w:sz w:val="19"/>
              </w:rPr>
              <w:t>Total (4 sections)</w:t>
            </w:r>
          </w:p>
        </w:tc>
        <w:tc>
          <w:tcPr>
            <w:tcW w:type="dxa" w:w="3024"/>
            <w:shd w:val="clear" w:fill="E8F4F5"/>
          </w:tcPr>
          <w:p>
            <w:pPr>
              <w:spacing w:after="40" w:before="40"/>
              <w:jc w:val="right"/>
            </w:pPr>
            <w:r/>
            <w:r>
              <w:rPr>
                <w:b/>
                <w:sz w:val="19"/>
              </w:rPr>
              <w:t>10,365,658</w:t>
            </w:r>
          </w:p>
        </w:tc>
        <w:tc>
          <w:tcPr>
            <w:tcW w:type="dxa" w:w="1872"/>
            <w:shd w:val="clear" w:fill="E8F4F5"/>
          </w:tcPr>
          <w:p>
            <w:pPr>
              <w:spacing w:after="40" w:before="40"/>
              <w:jc w:val="right"/>
            </w:pPr>
            <w:r/>
            <w:r>
              <w:rPr>
                <w:b/>
                <w:sz w:val="19"/>
              </w:rPr>
              <w:t>$2.83</w:t>
            </w:r>
          </w:p>
        </w:tc>
        <w:tc>
          <w:tcPr>
            <w:tcW w:type="dxa" w:w="2304"/>
            <w:shd w:val="clear" w:fill="E8F4F5"/>
          </w:tcPr>
          <w:p>
            <w:pPr>
              <w:spacing w:after="40" w:before="40"/>
              <w:jc w:val="right"/>
            </w:pPr>
            <w:r/>
            <w:r>
              <w:rPr>
                <w:b/>
                <w:sz w:val="19"/>
              </w:rPr>
              <w:t>$29,380</w:t>
            </w:r>
          </w:p>
        </w:tc>
        <w:tc>
          <w:tcPr>
            <w:tcW w:type="dxa" w:w="1872"/>
            <w:shd w:val="clear" w:fill="E8F4F5"/>
          </w:tcPr>
          <w:p>
            <w:pPr>
              <w:spacing w:after="40" w:before="40"/>
              <w:jc w:val="right"/>
            </w:pPr>
            <w:r/>
            <w:r>
              <w:rPr>
                <w:b/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color w:val="5B6B73"/>
          <w:sz w:val="19"/>
        </w:rPr>
        <w:t>Context: Preferred Deals in the account already clear at roughly 2× the open-auction rate, and current PG/PD volume is under ~0.1% of impressions — so this is untapped, not unproven.</w:t>
      </w:r>
    </w:p>
    <w:p>
      <w:pPr>
        <w:spacing w:before="280" w:after="80"/>
      </w:pPr>
      <w:r>
        <w:rPr>
          <w:b/>
          <w:color w:val="0B5C65"/>
          <w:sz w:val="26"/>
        </w:rPr>
        <w:t>2.  The 10% Conversion — Current vs PG/PD at $8 / $10</w:t>
      </w:r>
    </w:p>
    <w:p>
      <w:pPr>
        <w:spacing w:after="120"/>
      </w:pPr>
      <w:r>
        <w:rPr>
          <w:b w:val="0"/>
          <w:i w:val="0"/>
          <w:color w:val="1F2A30"/>
          <w:sz w:val="22"/>
        </w:rPr>
        <w:t>Taking 10% of each section's monthly programmatic impressions and re-selling it as PG/PD: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9D2D4"/>
          <w:left w:val="single" w:sz="6" w:space="0" w:color="C9D2D4"/>
          <w:bottom w:val="single" w:sz="6" w:space="0" w:color="C9D2D4"/>
          <w:right w:val="single" w:sz="6" w:space="0" w:color="C9D2D4"/>
          <w:insideH w:val="single" w:sz="6" w:space="0" w:color="C9D2D4"/>
          <w:insideV w:val="single" w:sz="6" w:space="0" w:color="C9D2D4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304"/>
            <w:shd w:val="clear" w:fill="0B5C65"/>
          </w:tcPr>
          <w:p>
            <w:pPr>
              <w:spacing w:after="40" w:before="40"/>
              <w:jc w:val="left"/>
            </w:pPr>
            <w:r/>
            <w:r>
              <w:rPr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2160"/>
            <w:shd w:val="clear" w:fill="0B5C65"/>
          </w:tcPr>
          <w:p>
            <w:pPr>
              <w:spacing w:after="40" w:before="40"/>
              <w:jc w:val="right"/>
            </w:pPr>
            <w:r/>
            <w:r>
              <w:rPr>
                <w:b/>
                <w:color w:val="FFFFFF"/>
                <w:sz w:val="18"/>
              </w:rPr>
              <w:t>10% impressions</w:t>
            </w:r>
          </w:p>
        </w:tc>
        <w:tc>
          <w:tcPr>
            <w:tcW w:type="dxa" w:w="1584"/>
            <w:shd w:val="clear" w:fill="0B5C65"/>
          </w:tcPr>
          <w:p>
            <w:pPr>
              <w:spacing w:after="40" w:before="40"/>
              <w:jc w:val="right"/>
            </w:pPr>
            <w:r/>
            <w:r>
              <w:rPr>
                <w:b/>
                <w:color w:val="FFFFFF"/>
                <w:sz w:val="18"/>
              </w:rPr>
              <w:t>Current rev</w:t>
            </w:r>
          </w:p>
        </w:tc>
        <w:tc>
          <w:tcPr>
            <w:tcW w:type="dxa" w:w="1584"/>
            <w:shd w:val="clear" w:fill="0B5C65"/>
          </w:tcPr>
          <w:p>
            <w:pPr>
              <w:spacing w:after="40" w:before="40"/>
              <w:jc w:val="right"/>
            </w:pPr>
            <w:r/>
            <w:r>
              <w:rPr>
                <w:b/>
                <w:color w:val="FFFFFF"/>
                <w:sz w:val="18"/>
              </w:rPr>
              <w:t>Rev @ $8</w:t>
            </w:r>
          </w:p>
        </w:tc>
        <w:tc>
          <w:tcPr>
            <w:tcW w:type="dxa" w:w="1584"/>
            <w:shd w:val="clear" w:fill="0B5C65"/>
          </w:tcPr>
          <w:p>
            <w:pPr>
              <w:spacing w:after="40" w:before="40"/>
              <w:jc w:val="right"/>
            </w:pPr>
            <w:r/>
            <w:r>
              <w:rPr>
                <w:b/>
                <w:color w:val="FFFFFF"/>
                <w:sz w:val="18"/>
              </w:rPr>
              <w:t>Rev @ $10</w:t>
            </w:r>
          </w:p>
        </w:tc>
        <w:tc>
          <w:tcPr>
            <w:tcW w:type="dxa" w:w="1584"/>
            <w:shd w:val="clear" w:fill="0B5C65"/>
          </w:tcPr>
          <w:p>
            <w:pPr>
              <w:spacing w:after="40" w:before="40"/>
              <w:jc w:val="right"/>
            </w:pPr>
            <w:r/>
            <w:r>
              <w:rPr>
                <w:b/>
                <w:color w:val="FFFFFF"/>
                <w:sz w:val="18"/>
              </w:rPr>
              <w:t>Uplift @ $8</w:t>
            </w:r>
          </w:p>
        </w:tc>
        <w:tc>
          <w:tcPr>
            <w:tcW w:type="dxa" w:w="1584"/>
            <w:shd w:val="clear" w:fill="0B5C65"/>
          </w:tcPr>
          <w:p>
            <w:pPr>
              <w:spacing w:after="40" w:before="40"/>
              <w:jc w:val="right"/>
            </w:pPr>
            <w:r/>
            <w:r>
              <w:rPr>
                <w:b/>
                <w:color w:val="FFFFFF"/>
                <w:sz w:val="18"/>
              </w:rPr>
              <w:t>Uplift @ $10</w:t>
            </w:r>
          </w:p>
        </w:tc>
      </w:tr>
      <w:tr>
        <w:tc>
          <w:tcPr>
            <w:tcW w:type="dxa" w:w="230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Entertainment</w:t>
            </w:r>
          </w:p>
        </w:tc>
        <w:tc>
          <w:tcPr>
            <w:tcW w:type="dxa" w:w="2160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456,700</w:t>
            </w:r>
          </w:p>
        </w:tc>
        <w:tc>
          <w:tcPr>
            <w:tcW w:type="dxa" w:w="1584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$1,076</w:t>
            </w:r>
          </w:p>
        </w:tc>
        <w:tc>
          <w:tcPr>
            <w:tcW w:type="dxa" w:w="1584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$3,654</w:t>
            </w:r>
          </w:p>
        </w:tc>
        <w:tc>
          <w:tcPr>
            <w:tcW w:type="dxa" w:w="1584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$4,567</w:t>
            </w:r>
          </w:p>
        </w:tc>
        <w:tc>
          <w:tcPr>
            <w:tcW w:type="dxa" w:w="1584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$2,578</w:t>
            </w:r>
          </w:p>
        </w:tc>
        <w:tc>
          <w:tcPr>
            <w:tcW w:type="dxa" w:w="1584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$3,491</w:t>
            </w:r>
          </w:p>
        </w:tc>
      </w:tr>
      <w:tr>
        <w:tc>
          <w:tcPr>
            <w:tcW w:type="dxa" w:w="2304"/>
            <w:shd w:val="clear" w:fill="F7FA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U.S.</w:t>
            </w:r>
          </w:p>
        </w:tc>
        <w:tc>
          <w:tcPr>
            <w:tcW w:type="dxa" w:w="2160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311,379</w:t>
            </w:r>
          </w:p>
        </w:tc>
        <w:tc>
          <w:tcPr>
            <w:tcW w:type="dxa" w:w="1584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$817</w:t>
            </w:r>
          </w:p>
        </w:tc>
        <w:tc>
          <w:tcPr>
            <w:tcW w:type="dxa" w:w="1584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$2,491</w:t>
            </w:r>
          </w:p>
        </w:tc>
        <w:tc>
          <w:tcPr>
            <w:tcW w:type="dxa" w:w="1584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$3,114</w:t>
            </w:r>
          </w:p>
        </w:tc>
        <w:tc>
          <w:tcPr>
            <w:tcW w:type="dxa" w:w="1584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$1,674</w:t>
            </w:r>
          </w:p>
        </w:tc>
        <w:tc>
          <w:tcPr>
            <w:tcW w:type="dxa" w:w="1584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$2,296</w:t>
            </w:r>
          </w:p>
        </w:tc>
      </w:tr>
      <w:tr>
        <w:tc>
          <w:tcPr>
            <w:tcW w:type="dxa" w:w="2304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Health</w:t>
            </w:r>
          </w:p>
        </w:tc>
        <w:tc>
          <w:tcPr>
            <w:tcW w:type="dxa" w:w="2160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201,716</w:t>
            </w:r>
          </w:p>
        </w:tc>
        <w:tc>
          <w:tcPr>
            <w:tcW w:type="dxa" w:w="1584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$815</w:t>
            </w:r>
          </w:p>
        </w:tc>
        <w:tc>
          <w:tcPr>
            <w:tcW w:type="dxa" w:w="1584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$1,614</w:t>
            </w:r>
          </w:p>
        </w:tc>
        <w:tc>
          <w:tcPr>
            <w:tcW w:type="dxa" w:w="1584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$2,017</w:t>
            </w:r>
          </w:p>
        </w:tc>
        <w:tc>
          <w:tcPr>
            <w:tcW w:type="dxa" w:w="1584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$799</w:t>
            </w:r>
          </w:p>
        </w:tc>
        <w:tc>
          <w:tcPr>
            <w:tcW w:type="dxa" w:w="1584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$1,202</w:t>
            </w:r>
          </w:p>
        </w:tc>
      </w:tr>
      <w:tr>
        <w:tc>
          <w:tcPr>
            <w:tcW w:type="dxa" w:w="2304"/>
            <w:shd w:val="clear" w:fill="F7FA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Science &amp; Tech</w:t>
            </w:r>
          </w:p>
        </w:tc>
        <w:tc>
          <w:tcPr>
            <w:tcW w:type="dxa" w:w="2160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66,770</w:t>
            </w:r>
          </w:p>
        </w:tc>
        <w:tc>
          <w:tcPr>
            <w:tcW w:type="dxa" w:w="1584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$230</w:t>
            </w:r>
          </w:p>
        </w:tc>
        <w:tc>
          <w:tcPr>
            <w:tcW w:type="dxa" w:w="1584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$534</w:t>
            </w:r>
          </w:p>
        </w:tc>
        <w:tc>
          <w:tcPr>
            <w:tcW w:type="dxa" w:w="1584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$668</w:t>
            </w:r>
          </w:p>
        </w:tc>
        <w:tc>
          <w:tcPr>
            <w:tcW w:type="dxa" w:w="1584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$305</w:t>
            </w:r>
          </w:p>
        </w:tc>
        <w:tc>
          <w:tcPr>
            <w:tcW w:type="dxa" w:w="1584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$438</w:t>
            </w:r>
          </w:p>
        </w:tc>
      </w:tr>
      <w:tr>
        <w:tc>
          <w:tcPr>
            <w:tcW w:type="dxa" w:w="2304"/>
            <w:shd w:val="clear" w:fill="E8F4F5"/>
          </w:tcPr>
          <w:p>
            <w:pPr>
              <w:spacing w:after="40" w:before="40"/>
              <w:jc w:val="left"/>
            </w:pPr>
            <w:r/>
            <w:r>
              <w:rPr>
                <w:b/>
                <w:sz w:val="19"/>
              </w:rPr>
              <w:t>Total</w:t>
            </w:r>
          </w:p>
        </w:tc>
        <w:tc>
          <w:tcPr>
            <w:tcW w:type="dxa" w:w="2160"/>
            <w:shd w:val="clear" w:fill="E8F4F5"/>
          </w:tcPr>
          <w:p>
            <w:pPr>
              <w:spacing w:after="40" w:before="40"/>
              <w:jc w:val="right"/>
            </w:pPr>
            <w:r/>
            <w:r>
              <w:rPr>
                <w:b/>
                <w:sz w:val="19"/>
              </w:rPr>
              <w:t>1,036,566</w:t>
            </w:r>
          </w:p>
        </w:tc>
        <w:tc>
          <w:tcPr>
            <w:tcW w:type="dxa" w:w="1584"/>
            <w:shd w:val="clear" w:fill="E8F4F5"/>
          </w:tcPr>
          <w:p>
            <w:pPr>
              <w:spacing w:after="40" w:before="40"/>
              <w:jc w:val="right"/>
            </w:pPr>
            <w:r/>
            <w:r>
              <w:rPr>
                <w:b/>
                <w:sz w:val="19"/>
              </w:rPr>
              <w:t>$2,938</w:t>
            </w:r>
          </w:p>
        </w:tc>
        <w:tc>
          <w:tcPr>
            <w:tcW w:type="dxa" w:w="1584"/>
            <w:shd w:val="clear" w:fill="E8F4F5"/>
          </w:tcPr>
          <w:p>
            <w:pPr>
              <w:spacing w:after="40" w:before="40"/>
              <w:jc w:val="right"/>
            </w:pPr>
            <w:r/>
            <w:r>
              <w:rPr>
                <w:b/>
                <w:sz w:val="19"/>
              </w:rPr>
              <w:t>$8,293</w:t>
            </w:r>
          </w:p>
        </w:tc>
        <w:tc>
          <w:tcPr>
            <w:tcW w:type="dxa" w:w="1584"/>
            <w:shd w:val="clear" w:fill="E8F4F5"/>
          </w:tcPr>
          <w:p>
            <w:pPr>
              <w:spacing w:after="40" w:before="40"/>
              <w:jc w:val="right"/>
            </w:pPr>
            <w:r/>
            <w:r>
              <w:rPr>
                <w:b/>
                <w:sz w:val="19"/>
              </w:rPr>
              <w:t>$10,366</w:t>
            </w:r>
          </w:p>
        </w:tc>
        <w:tc>
          <w:tcPr>
            <w:tcW w:type="dxa" w:w="1584"/>
            <w:shd w:val="clear" w:fill="E8F4F5"/>
          </w:tcPr>
          <w:p>
            <w:pPr>
              <w:spacing w:after="40" w:before="40"/>
              <w:jc w:val="right"/>
            </w:pPr>
            <w:r/>
            <w:r>
              <w:rPr>
                <w:b/>
                <w:sz w:val="19"/>
              </w:rPr>
              <w:t>$5,355</w:t>
            </w:r>
          </w:p>
        </w:tc>
        <w:tc>
          <w:tcPr>
            <w:tcW w:type="dxa" w:w="1584"/>
            <w:shd w:val="clear" w:fill="E8F4F5"/>
          </w:tcPr>
          <w:p>
            <w:pPr>
              <w:spacing w:after="40" w:before="40"/>
              <w:jc w:val="right"/>
            </w:pPr>
            <w:r/>
            <w:r>
              <w:rPr>
                <w:b/>
                <w:sz w:val="19"/>
              </w:rPr>
              <w:t>$7,428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8926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1_convers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8926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B6B73"/>
          <w:sz w:val="18"/>
        </w:rPr>
        <w:t>Figure 1 — Monthly revenue on the 10% shifted impressions: today vs PG/PD at $8 / $10.</w:t>
      </w:r>
    </w:p>
    <w:p>
      <w:pPr>
        <w:spacing w:before="280" w:after="80"/>
      </w:pPr>
      <w:r>
        <w:rPr>
          <w:b/>
          <w:color w:val="0B5C65"/>
          <w:sz w:val="26"/>
        </w:rPr>
        <w:t>3.  Scenarios — 5% / 10% / 15% Shift</w:t>
      </w:r>
    </w:p>
    <w:p>
      <w:pPr>
        <w:spacing w:after="120"/>
      </w:pPr>
      <w:r>
        <w:rPr>
          <w:b w:val="0"/>
          <w:i w:val="0"/>
          <w:color w:val="1F2A30"/>
          <w:sz w:val="22"/>
        </w:rPr>
        <w:t>Incremental monthly revenue across the four sections at each shift level: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9D2D4"/>
          <w:left w:val="single" w:sz="6" w:space="0" w:color="C9D2D4"/>
          <w:bottom w:val="single" w:sz="6" w:space="0" w:color="C9D2D4"/>
          <w:right w:val="single" w:sz="6" w:space="0" w:color="C9D2D4"/>
          <w:insideH w:val="single" w:sz="6" w:space="0" w:color="C9D2D4"/>
          <w:insideV w:val="single" w:sz="6" w:space="0" w:color="C9D2D4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016"/>
            <w:shd w:val="clear" w:fill="0B5C65"/>
          </w:tcPr>
          <w:p>
            <w:pPr>
              <w:spacing w:after="40" w:before="40"/>
              <w:jc w:val="left"/>
            </w:pPr>
            <w:r/>
            <w:r>
              <w:rPr>
                <w:b/>
                <w:color w:val="FFFFFF"/>
                <w:sz w:val="18"/>
              </w:rPr>
              <w:t>Shift level</w:t>
            </w:r>
          </w:p>
        </w:tc>
        <w:tc>
          <w:tcPr>
            <w:tcW w:type="dxa" w:w="2736"/>
            <w:shd w:val="clear" w:fill="0B5C65"/>
          </w:tcPr>
          <w:p>
            <w:pPr>
              <w:spacing w:after="40" w:before="40"/>
              <w:jc w:val="right"/>
            </w:pPr>
            <w:r/>
            <w:r>
              <w:rPr>
                <w:b/>
                <w:color w:val="FFFFFF"/>
                <w:sz w:val="18"/>
              </w:rPr>
              <w:t>Incremental / mo @ $8</w:t>
            </w:r>
          </w:p>
        </w:tc>
        <w:tc>
          <w:tcPr>
            <w:tcW w:type="dxa" w:w="2736"/>
            <w:shd w:val="clear" w:fill="0B5C65"/>
          </w:tcPr>
          <w:p>
            <w:pPr>
              <w:spacing w:after="40" w:before="40"/>
              <w:jc w:val="right"/>
            </w:pPr>
            <w:r/>
            <w:r>
              <w:rPr>
                <w:b/>
                <w:color w:val="FFFFFF"/>
                <w:sz w:val="18"/>
              </w:rPr>
              <w:t>Incremental / mo @ $10</w:t>
            </w:r>
          </w:p>
        </w:tc>
        <w:tc>
          <w:tcPr>
            <w:tcW w:type="dxa" w:w="2304"/>
            <w:shd w:val="clear" w:fill="0B5C65"/>
          </w:tcPr>
          <w:p>
            <w:pPr>
              <w:spacing w:after="40" w:before="40"/>
              <w:jc w:val="right"/>
            </w:pPr>
            <w:r/>
            <w:r>
              <w:rPr>
                <w:b/>
                <w:color w:val="FFFFFF"/>
                <w:sz w:val="18"/>
              </w:rPr>
              <w:t>Annualized @ $8</w:t>
            </w:r>
          </w:p>
        </w:tc>
        <w:tc>
          <w:tcPr>
            <w:tcW w:type="dxa" w:w="2304"/>
            <w:shd w:val="clear" w:fill="0B5C65"/>
          </w:tcPr>
          <w:p>
            <w:pPr>
              <w:spacing w:after="40" w:before="40"/>
              <w:jc w:val="right"/>
            </w:pPr>
            <w:r/>
            <w:r>
              <w:rPr>
                <w:b/>
                <w:color w:val="FFFFFF"/>
                <w:sz w:val="18"/>
              </w:rPr>
              <w:t>Annualized @ $10</w:t>
            </w:r>
          </w:p>
        </w:tc>
      </w:tr>
      <w:tr>
        <w:tc>
          <w:tcPr>
            <w:tcW w:type="dxa" w:w="2016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5%</w:t>
            </w:r>
          </w:p>
        </w:tc>
        <w:tc>
          <w:tcPr>
            <w:tcW w:type="dxa" w:w="2736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$2,677</w:t>
            </w:r>
          </w:p>
        </w:tc>
        <w:tc>
          <w:tcPr>
            <w:tcW w:type="dxa" w:w="2736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$3,714</w:t>
            </w:r>
          </w:p>
        </w:tc>
        <w:tc>
          <w:tcPr>
            <w:tcW w:type="dxa" w:w="2304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$32,127</w:t>
            </w:r>
          </w:p>
        </w:tc>
        <w:tc>
          <w:tcPr>
            <w:tcW w:type="dxa" w:w="2304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$44,566</w:t>
            </w:r>
          </w:p>
        </w:tc>
      </w:tr>
      <w:tr>
        <w:tc>
          <w:tcPr>
            <w:tcW w:type="dxa" w:w="2016"/>
            <w:shd w:val="clear" w:fill="E8F4F5"/>
          </w:tcPr>
          <w:p>
            <w:pPr>
              <w:spacing w:after="40" w:before="40"/>
              <w:jc w:val="left"/>
            </w:pPr>
            <w:r/>
            <w:r>
              <w:rPr>
                <w:b/>
                <w:sz w:val="19"/>
              </w:rPr>
              <w:t>10%</w:t>
            </w:r>
          </w:p>
        </w:tc>
        <w:tc>
          <w:tcPr>
            <w:tcW w:type="dxa" w:w="2736"/>
            <w:shd w:val="clear" w:fill="E8F4F5"/>
          </w:tcPr>
          <w:p>
            <w:pPr>
              <w:spacing w:after="40" w:before="40"/>
              <w:jc w:val="right"/>
            </w:pPr>
            <w:r/>
            <w:r>
              <w:rPr>
                <w:b/>
                <w:sz w:val="19"/>
              </w:rPr>
              <w:t>$5,355</w:t>
            </w:r>
          </w:p>
        </w:tc>
        <w:tc>
          <w:tcPr>
            <w:tcW w:type="dxa" w:w="2736"/>
            <w:shd w:val="clear" w:fill="E8F4F5"/>
          </w:tcPr>
          <w:p>
            <w:pPr>
              <w:spacing w:after="40" w:before="40"/>
              <w:jc w:val="right"/>
            </w:pPr>
            <w:r/>
            <w:r>
              <w:rPr>
                <w:b/>
                <w:sz w:val="19"/>
              </w:rPr>
              <w:t>$7,428</w:t>
            </w:r>
          </w:p>
        </w:tc>
        <w:tc>
          <w:tcPr>
            <w:tcW w:type="dxa" w:w="2304"/>
            <w:shd w:val="clear" w:fill="E8F4F5"/>
          </w:tcPr>
          <w:p>
            <w:pPr>
              <w:spacing w:after="40" w:before="40"/>
              <w:jc w:val="right"/>
            </w:pPr>
            <w:r/>
            <w:r>
              <w:rPr>
                <w:b/>
                <w:sz w:val="19"/>
              </w:rPr>
              <w:t>$64,254</w:t>
            </w:r>
          </w:p>
        </w:tc>
        <w:tc>
          <w:tcPr>
            <w:tcW w:type="dxa" w:w="2304"/>
            <w:shd w:val="clear" w:fill="E8F4F5"/>
          </w:tcPr>
          <w:p>
            <w:pPr>
              <w:spacing w:after="40" w:before="40"/>
              <w:jc w:val="right"/>
            </w:pPr>
            <w:r/>
            <w:r>
              <w:rPr>
                <w:b/>
                <w:sz w:val="19"/>
              </w:rPr>
              <w:t>$89,132</w:t>
            </w:r>
          </w:p>
        </w:tc>
      </w:tr>
      <w:tr>
        <w:tc>
          <w:tcPr>
            <w:tcW w:type="dxa" w:w="2016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15%</w:t>
            </w:r>
          </w:p>
        </w:tc>
        <w:tc>
          <w:tcPr>
            <w:tcW w:type="dxa" w:w="2736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$8,032</w:t>
            </w:r>
          </w:p>
        </w:tc>
        <w:tc>
          <w:tcPr>
            <w:tcW w:type="dxa" w:w="2736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$11,141</w:t>
            </w:r>
          </w:p>
        </w:tc>
        <w:tc>
          <w:tcPr>
            <w:tcW w:type="dxa" w:w="2304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$96,381</w:t>
            </w:r>
          </w:p>
        </w:tc>
        <w:tc>
          <w:tcPr>
            <w:tcW w:type="dxa" w:w="2304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$133,698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7667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2_scenari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66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B6B73"/>
          <w:sz w:val="18"/>
        </w:rPr>
        <w:t>Figure 2 — Total incremental monthly revenue by scenario.</w:t>
      </w:r>
    </w:p>
    <w:p>
      <w:pPr>
        <w:spacing w:before="280" w:after="80"/>
      </w:pPr>
      <w:r>
        <w:rPr>
          <w:b/>
          <w:color w:val="0B5C65"/>
          <w:sz w:val="26"/>
        </w:rPr>
        <w:t>4.  30 / 60 / 90-Day Ramp</w:t>
      </w:r>
    </w:p>
    <w:p>
      <w:pPr>
        <w:spacing w:after="120"/>
      </w:pPr>
      <w:r>
        <w:rPr>
          <w:b w:val="0"/>
          <w:i w:val="0"/>
          <w:color w:val="1F2A30"/>
          <w:sz w:val="22"/>
        </w:rPr>
        <w:t>Monica asked for a phased build, not instant impact. PG/PD scales gradually as deals are signed and activated. The ramp maps to the shift scenarios above (blended across the four sections):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9D2D4"/>
          <w:left w:val="single" w:sz="6" w:space="0" w:color="C9D2D4"/>
          <w:bottom w:val="single" w:sz="6" w:space="0" w:color="C9D2D4"/>
          <w:right w:val="single" w:sz="6" w:space="0" w:color="C9D2D4"/>
          <w:insideH w:val="single" w:sz="6" w:space="0" w:color="C9D2D4"/>
          <w:insideV w:val="single" w:sz="6" w:space="0" w:color="C9D2D4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296"/>
            <w:shd w:val="clear" w:fill="0B5C65"/>
          </w:tcPr>
          <w:p>
            <w:pPr>
              <w:spacing w:after="40" w:before="40"/>
              <w:jc w:val="left"/>
            </w:pPr>
            <w:r/>
            <w:r>
              <w:rPr>
                <w:b/>
                <w:color w:val="FFFFFF"/>
                <w:sz w:val="18"/>
              </w:rPr>
              <w:t>Period</w:t>
            </w:r>
          </w:p>
        </w:tc>
        <w:tc>
          <w:tcPr>
            <w:tcW w:type="dxa" w:w="1872"/>
            <w:shd w:val="clear" w:fill="0B5C65"/>
          </w:tcPr>
          <w:p>
            <w:pPr>
              <w:spacing w:after="40" w:before="40"/>
              <w:jc w:val="right"/>
            </w:pPr>
            <w:r/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type="dxa" w:w="1296"/>
            <w:shd w:val="clear" w:fill="0B5C65"/>
          </w:tcPr>
          <w:p>
            <w:pPr>
              <w:spacing w:after="40" w:before="40"/>
              <w:jc w:val="right"/>
            </w:pPr>
            <w:r/>
            <w:r>
              <w:rPr>
                <w:b/>
                <w:color w:val="FFFFFF"/>
                <w:sz w:val="18"/>
              </w:rPr>
              <w:t>% activated</w:t>
            </w:r>
          </w:p>
        </w:tc>
        <w:tc>
          <w:tcPr>
            <w:tcW w:type="dxa" w:w="1728"/>
            <w:shd w:val="clear" w:fill="0B5C65"/>
          </w:tcPr>
          <w:p>
            <w:pPr>
              <w:spacing w:after="40" w:before="40"/>
              <w:jc w:val="right"/>
            </w:pPr>
            <w:r/>
            <w:r>
              <w:rPr>
                <w:b/>
                <w:color w:val="FFFFFF"/>
                <w:sz w:val="18"/>
              </w:rPr>
              <w:t>Prog. imp / mo</w:t>
            </w:r>
          </w:p>
        </w:tc>
        <w:tc>
          <w:tcPr>
            <w:tcW w:type="dxa" w:w="1584"/>
            <w:shd w:val="clear" w:fill="0B5C65"/>
          </w:tcPr>
          <w:p>
            <w:pPr>
              <w:spacing w:after="40" w:before="40"/>
              <w:jc w:val="right"/>
            </w:pPr>
            <w:r/>
            <w:r>
              <w:rPr>
                <w:b/>
                <w:color w:val="FFFFFF"/>
                <w:sz w:val="18"/>
              </w:rPr>
              <w:t>PG/PD rev @ $8</w:t>
            </w:r>
          </w:p>
        </w:tc>
        <w:tc>
          <w:tcPr>
            <w:tcW w:type="dxa" w:w="1584"/>
            <w:shd w:val="clear" w:fill="0B5C65"/>
          </w:tcPr>
          <w:p>
            <w:pPr>
              <w:spacing w:after="40" w:before="40"/>
              <w:jc w:val="right"/>
            </w:pPr>
            <w:r/>
            <w:r>
              <w:rPr>
                <w:b/>
                <w:color w:val="FFFFFF"/>
                <w:sz w:val="18"/>
              </w:rPr>
              <w:t>PG/PD rev @ $10</w:t>
            </w:r>
          </w:p>
        </w:tc>
        <w:tc>
          <w:tcPr>
            <w:tcW w:type="dxa" w:w="1440"/>
            <w:shd w:val="clear" w:fill="0B5C65"/>
          </w:tcPr>
          <w:p>
            <w:pPr>
              <w:spacing w:after="40" w:before="40"/>
              <w:jc w:val="right"/>
            </w:pPr>
            <w:r/>
            <w:r>
              <w:rPr>
                <w:b/>
                <w:color w:val="FFFFFF"/>
                <w:sz w:val="18"/>
              </w:rPr>
              <w:t>Uplift @ $8</w:t>
            </w:r>
          </w:p>
        </w:tc>
        <w:tc>
          <w:tcPr>
            <w:tcW w:type="dxa" w:w="1440"/>
            <w:shd w:val="clear" w:fill="0B5C65"/>
          </w:tcPr>
          <w:p>
            <w:pPr>
              <w:spacing w:after="40" w:before="40"/>
              <w:jc w:val="right"/>
            </w:pPr>
            <w:r/>
            <w:r>
              <w:rPr>
                <w:b/>
                <w:color w:val="FFFFFF"/>
                <w:sz w:val="18"/>
              </w:rPr>
              <w:t>Uplift @ $10</w:t>
            </w:r>
          </w:p>
        </w:tc>
      </w:tr>
      <w:tr>
        <w:tc>
          <w:tcPr>
            <w:tcW w:type="dxa" w:w="1296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30 days</w:t>
            </w:r>
          </w:p>
        </w:tc>
        <w:tc>
          <w:tcPr>
            <w:tcW w:type="dxa" w:w="1872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Small pilot</w:t>
            </w:r>
          </w:p>
        </w:tc>
        <w:tc>
          <w:tcPr>
            <w:tcW w:type="dxa" w:w="1296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5%</w:t>
            </w:r>
          </w:p>
        </w:tc>
        <w:tc>
          <w:tcPr>
            <w:tcW w:type="dxa" w:w="1728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518,283</w:t>
            </w:r>
          </w:p>
        </w:tc>
        <w:tc>
          <w:tcPr>
            <w:tcW w:type="dxa" w:w="1584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$4,146</w:t>
            </w:r>
          </w:p>
        </w:tc>
        <w:tc>
          <w:tcPr>
            <w:tcW w:type="dxa" w:w="1584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$5,183</w:t>
            </w:r>
          </w:p>
        </w:tc>
        <w:tc>
          <w:tcPr>
            <w:tcW w:type="dxa" w:w="1440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$2,677</w:t>
            </w:r>
          </w:p>
        </w:tc>
        <w:tc>
          <w:tcPr>
            <w:tcW w:type="dxa" w:w="1440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$3,714</w:t>
            </w:r>
          </w:p>
        </w:tc>
      </w:tr>
      <w:tr>
        <w:tc>
          <w:tcPr>
            <w:tcW w:type="dxa" w:w="1296"/>
            <w:shd w:val="clear" w:fill="F7FAFA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60 days</w:t>
            </w:r>
          </w:p>
        </w:tc>
        <w:tc>
          <w:tcPr>
            <w:tcW w:type="dxa" w:w="1872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Broader rollout</w:t>
            </w:r>
          </w:p>
        </w:tc>
        <w:tc>
          <w:tcPr>
            <w:tcW w:type="dxa" w:w="1296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10%</w:t>
            </w:r>
          </w:p>
        </w:tc>
        <w:tc>
          <w:tcPr>
            <w:tcW w:type="dxa" w:w="1728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1,036,566</w:t>
            </w:r>
          </w:p>
        </w:tc>
        <w:tc>
          <w:tcPr>
            <w:tcW w:type="dxa" w:w="1584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$8,293</w:t>
            </w:r>
          </w:p>
        </w:tc>
        <w:tc>
          <w:tcPr>
            <w:tcW w:type="dxa" w:w="1584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$10,366</w:t>
            </w:r>
          </w:p>
        </w:tc>
        <w:tc>
          <w:tcPr>
            <w:tcW w:type="dxa" w:w="1440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$5,355</w:t>
            </w:r>
          </w:p>
        </w:tc>
        <w:tc>
          <w:tcPr>
            <w:tcW w:type="dxa" w:w="1440"/>
            <w:shd w:val="clear" w:fill="F7FAFA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$7,428</w:t>
            </w:r>
          </w:p>
        </w:tc>
      </w:tr>
      <w:tr>
        <w:tc>
          <w:tcPr>
            <w:tcW w:type="dxa" w:w="1296"/>
          </w:tcPr>
          <w:p>
            <w:pPr>
              <w:spacing w:after="40" w:before="40"/>
              <w:jc w:val="left"/>
            </w:pPr>
            <w:r/>
            <w:r>
              <w:rPr>
                <w:b w:val="0"/>
                <w:sz w:val="19"/>
              </w:rPr>
              <w:t>90 days</w:t>
            </w:r>
          </w:p>
        </w:tc>
        <w:tc>
          <w:tcPr>
            <w:tcW w:type="dxa" w:w="1872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Scaled rollout</w:t>
            </w:r>
          </w:p>
        </w:tc>
        <w:tc>
          <w:tcPr>
            <w:tcW w:type="dxa" w:w="1296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15%</w:t>
            </w:r>
          </w:p>
        </w:tc>
        <w:tc>
          <w:tcPr>
            <w:tcW w:type="dxa" w:w="1728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1,554,849</w:t>
            </w:r>
          </w:p>
        </w:tc>
        <w:tc>
          <w:tcPr>
            <w:tcW w:type="dxa" w:w="1584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$12,439</w:t>
            </w:r>
          </w:p>
        </w:tc>
        <w:tc>
          <w:tcPr>
            <w:tcW w:type="dxa" w:w="1584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$15,548</w:t>
            </w:r>
          </w:p>
        </w:tc>
        <w:tc>
          <w:tcPr>
            <w:tcW w:type="dxa" w:w="1440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$8,032</w:t>
            </w:r>
          </w:p>
        </w:tc>
        <w:tc>
          <w:tcPr>
            <w:tcW w:type="dxa" w:w="1440"/>
          </w:tcPr>
          <w:p>
            <w:pPr>
              <w:spacing w:after="40" w:before="40"/>
              <w:jc w:val="right"/>
            </w:pPr>
            <w:r/>
            <w:r>
              <w:rPr>
                <w:b w:val="0"/>
                <w:sz w:val="19"/>
              </w:rPr>
              <w:t>$11,141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b/>
          <w:color w:val="0B5C65"/>
          <w:sz w:val="26"/>
        </w:rPr>
        <w:t>5.  What This Means (for Monica)</w:t>
      </w:r>
    </w:p>
    <w:p>
      <w:pPr>
        <w:pStyle w:val="ListBullet"/>
        <w:spacing w:after="60"/>
      </w:pPr>
      <w:r>
        <w:rPr>
          <w:b/>
          <w:color w:val="0B5C65"/>
          <w:sz w:val="22"/>
        </w:rPr>
        <w:t xml:space="preserve">Current state — </w:t>
      </w:r>
      <w:r>
        <w:rPr>
          <w:color w:val="1F2A30"/>
          <w:sz w:val="22"/>
        </w:rPr>
        <w:t>PG/PD is under ~0.1% of impressions today — effectively an untapped channel.</w:t>
      </w:r>
    </w:p>
    <w:p>
      <w:pPr>
        <w:pStyle w:val="ListBullet"/>
        <w:spacing w:after="60"/>
      </w:pPr>
      <w:r>
        <w:rPr>
          <w:b/>
          <w:color w:val="0B5C65"/>
          <w:sz w:val="22"/>
        </w:rPr>
        <w:t xml:space="preserve">Opportunity — </w:t>
      </w:r>
      <w:r>
        <w:rPr>
          <w:color w:val="1F2A30"/>
          <w:sz w:val="22"/>
        </w:rPr>
        <w:t>premium slots clear at ~$2–$4 programmatically while direct earns $17–$29; PG/PD at $8–$10 captures the middle without touching direct.</w:t>
      </w:r>
    </w:p>
    <w:p>
      <w:pPr>
        <w:pStyle w:val="ListBullet"/>
        <w:spacing w:after="60"/>
      </w:pPr>
      <w:r>
        <w:rPr>
          <w:b/>
          <w:color w:val="0B5C65"/>
          <w:sz w:val="22"/>
        </w:rPr>
        <w:t xml:space="preserve">Impact — </w:t>
      </w:r>
      <w:r>
        <w:rPr>
          <w:color w:val="1F2A30"/>
          <w:sz w:val="22"/>
        </w:rPr>
        <w:t>converting 10% of programmatic in these sections adds $5,355–$7,428/month (~$64,254–$89,132/year); 15% roughly scales that by 1.5×.</w:t>
      </w:r>
    </w:p>
    <w:p>
      <w:pPr>
        <w:pStyle w:val="ListBullet"/>
        <w:spacing w:after="60"/>
      </w:pPr>
      <w:r>
        <w:rPr>
          <w:b/>
          <w:color w:val="0B5C65"/>
          <w:sz w:val="22"/>
        </w:rPr>
        <w:t xml:space="preserve">Ramp — </w:t>
      </w:r>
      <w:r>
        <w:rPr>
          <w:color w:val="1F2A30"/>
          <w:sz w:val="22"/>
        </w:rPr>
        <w:t>gradual over 30/60/90 days — pilot, broaden, scale — not an overnight shift.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0F7D88"/>
          <w:left w:val="single" w:sz="12" w:space="0" w:color="0F7D88"/>
          <w:bottom w:val="single" w:sz="12" w:space="0" w:color="0F7D88"/>
          <w:right w:val="single" w:sz="12" w:space="0" w:color="0F7D88"/>
          <w:insideH w:val="single" w:sz="12" w:space="0" w:color="0F7D88"/>
          <w:insideV w:val="single" w:sz="12" w:space="0" w:color="0F7D88"/>
        </w:tblBorders>
      </w:tblPr>
      <w:tblGrid>
        <w:gridCol w:w="8640"/>
      </w:tblGrid>
      <w:tr>
        <w:tc>
          <w:tcPr>
            <w:tcW w:type="dxa" w:w="8640"/>
            <w:shd w:val="clear" w:fill="E8F4F5"/>
          </w:tcPr>
          <w:p>
            <w:pPr>
              <w:spacing w:before="120" w:after="120"/>
            </w:pPr>
            <w:r/>
            <w:r>
              <w:rPr>
                <w:b/>
                <w:color w:val="0B5C65"/>
                <w:sz w:val="23"/>
              </w:rPr>
              <w:t xml:space="preserve">One-line answer:  </w:t>
            </w:r>
            <w:r>
              <w:rPr>
                <w:color w:val="1F2A30"/>
                <w:sz w:val="22"/>
              </w:rPr>
              <w:t>“If we convert 10% of today's programmatic impressions in these high-value sections into PG/PD at $8–$10, we lift them from $2,938 to $8,293–$10,366 per month — roughly $5,355–$7,428 of incremental revenue every month, ramping over one quarter.”</w:t>
            </w:r>
          </w:p>
        </w:tc>
      </w:tr>
    </w:tbl>
    <w:p>
      <w:pPr>
        <w:spacing w:after="40"/>
      </w:pPr>
    </w:p>
    <w:p>
      <w:pPr>
        <w:spacing w:before="280"/>
      </w:pPr>
      <w:r>
        <w:rPr>
          <w:i/>
          <w:color w:val="5B6B73"/>
          <w:sz w:val="17"/>
        </w:rPr>
        <w:t>Scope note: figures cover four sections (Entertainment, U.S., Health, Science &amp; Tech) on the top-6 ad slots only; other sections (e.g., World, Politics) and remaining slots are additive and not included here. U.S. inventory, GAM Jan–May 2026, June excluded. Prepared by Databeat for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1F2A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