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0B5C65"/>
          <w:sz w:val="36"/>
        </w:rPr>
        <w:t>DATABEAT</w:t>
      </w:r>
      <w:r>
        <w:rPr>
          <w:color w:val="5B6B73"/>
          <w:sz w:val="24"/>
        </w:rPr>
        <w:t xml:space="preserve">   |   Prepared for TIME</w:t>
      </w:r>
    </w:p>
    <w:p>
      <w:pPr>
        <w:spacing w:before="280" w:after="80"/>
      </w:pPr>
      <w:r>
        <w:rPr>
          <w:b/>
          <w:color w:val="0B5C65"/>
          <w:sz w:val="46"/>
        </w:rPr>
        <w:t>PG/PD Incremental Revenue Model — Slot-wise</w:t>
      </w:r>
    </w:p>
    <w:p>
      <w:r>
        <w:rPr>
          <w:i/>
          <w:color w:val="1F2A30"/>
          <w:sz w:val="24"/>
        </w:rPr>
        <w:t>Section × slot view: how much additional revenue TIME can generate by converting a share of open-auction programmatic impressions into Preferred Deals / Programmatic Guaranteed, broken down to the individual ad slot (US inventory, top-6 slots)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Bottom line:  </w:t>
            </w:r>
            <w:r>
              <w:rPr>
                <w:color w:val="1F2A30"/>
                <w:sz w:val="22"/>
              </w:rPr>
              <w:t>across the five sections and six top slots, TIME serves ~11.1M programmatic impressions/month earning ~$32,359/month today (~$2.91 eCPM). Converting 10% into PG/PD at $8–$10 yields $8,891–$11,114/month vs $3,236 today — incremental $5,655–$7,878/month (~$67,862–$94,536/year). One slot — stickyfooter1 — is ~46% of the entire convertible pool, so it is the single highest-leverage place to start.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Scope &amp; Method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What — </w:t>
      </w:r>
      <w:r>
        <w:rPr>
          <w:color w:val="1F2A30"/>
          <w:sz w:val="22"/>
        </w:rPr>
        <w:t>US inventory, six top slots (stickyfooter1, leaderboard1, inline1–3, rightrail1) across five sections (Entertainment, U.S., Health, Tech, Science).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Data — </w:t>
      </w:r>
      <w:r>
        <w:rPr>
          <w:color w:val="1F2A30"/>
          <w:sz w:val="22"/>
        </w:rPr>
        <w:t>GAM impressions pivot (section × slot), reconciled to the grand total (200.05M programmatic impressions).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Assumptions — </w:t>
      </w:r>
      <w:r>
        <w:rPr>
          <w:color w:val="1F2A30"/>
          <w:sz w:val="22"/>
        </w:rPr>
        <w:t>shift = share of programmatic impressions re-sold as PG/PD, priced at a fixed $8 and $10 eCPM; scenarios 5% / 10% / 15%.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Formula — </w:t>
      </w:r>
      <w:r>
        <w:rPr>
          <w:color w:val="1F2A30"/>
          <w:sz w:val="22"/>
        </w:rPr>
        <w:t>incremental = (shifted impressions ÷ 1000) × (PG/PD eCPM − current programmatic eCPM).</w:t>
      </w:r>
    </w:p>
    <w:p>
      <w:pPr>
        <w:spacing w:after="120"/>
      </w:pPr>
      <w:r>
        <w:rPr>
          <w:b w:val="0"/>
          <w:i/>
          <w:color w:val="5B6B73"/>
          <w:sz w:val="19"/>
        </w:rPr>
        <w:t>Two transparency notes (both editable in the companion spreadsheet): (1) this pivot carries impressions only, so current programmatic eCPM is applied from the confirmed section-level rate card — the same rate across a section's slots; slot-level eCPMs would refine the split but not the totals. (2) The programmatic volume implies an ~18-month window (Jan-2025–Jun-2026); “monthly” figures divide by 18. Confirm the export period and the per-month figures rescale exactly.</w:t>
      </w:r>
    </w:p>
    <w:p>
      <w:pPr>
        <w:spacing w:before="280" w:after="80"/>
      </w:pPr>
      <w:r>
        <w:rPr>
          <w:b/>
          <w:color w:val="0B5C65"/>
          <w:sz w:val="26"/>
        </w:rPr>
        <w:t>1.  Current State — Programmatic Inventory by Slot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Aggregated across the five sections, here is how the programmatic impression pool and its current open-auction revenue split across the six slots: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Prog. imp (period)</w:t>
            </w:r>
          </w:p>
        </w:tc>
        <w:tc>
          <w:tcPr>
            <w:tcW w:type="dxa" w:w="115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216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Monthly prog. imp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Current eCPM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Current rev / mo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91,556,001</w:t>
            </w:r>
          </w:p>
        </w:tc>
        <w:tc>
          <w:tcPr>
            <w:tcW w:type="dxa" w:w="115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45.8%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5,086,444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$2.84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$14,464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leaderboard1</w:t>
            </w:r>
          </w:p>
        </w:tc>
        <w:tc>
          <w:tcPr>
            <w:tcW w:type="dxa" w:w="230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28,657,336</w:t>
            </w:r>
          </w:p>
        </w:tc>
        <w:tc>
          <w:tcPr>
            <w:tcW w:type="dxa" w:w="115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1,592,074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$2.95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$4,701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25,229,629</w:t>
            </w:r>
          </w:p>
        </w:tc>
        <w:tc>
          <w:tcPr>
            <w:tcW w:type="dxa" w:w="115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12.6%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1,401,646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$2.97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$4,157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inline2</w:t>
            </w:r>
          </w:p>
        </w:tc>
        <w:tc>
          <w:tcPr>
            <w:tcW w:type="dxa" w:w="230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22,046,408</w:t>
            </w:r>
          </w:p>
        </w:tc>
        <w:tc>
          <w:tcPr>
            <w:tcW w:type="dxa" w:w="115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11.0%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1,224,800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$2.94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$3,605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18,763,956</w:t>
            </w:r>
          </w:p>
        </w:tc>
        <w:tc>
          <w:tcPr>
            <w:tcW w:type="dxa" w:w="115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9.4%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1,042,442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$2.92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$3,043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rightrail1</w:t>
            </w:r>
          </w:p>
        </w:tc>
        <w:tc>
          <w:tcPr>
            <w:tcW w:type="dxa" w:w="230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13,797,425</w:t>
            </w:r>
          </w:p>
        </w:tc>
        <w:tc>
          <w:tcPr>
            <w:tcW w:type="dxa" w:w="115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6.9%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766,524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$3.12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$2,389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8"/>
              </w:rPr>
              <w:t>All 6 slots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200,050,755</w:t>
            </w:r>
          </w:p>
        </w:tc>
        <w:tc>
          <w:tcPr>
            <w:tcW w:type="dxa" w:w="115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100%</w:t>
            </w:r>
          </w:p>
        </w:tc>
        <w:tc>
          <w:tcPr>
            <w:tcW w:type="dxa" w:w="216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11,113,931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$2.91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$32,359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90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lot_impres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9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1 — Programmatic impressions by slot. stickyfooter1 alone is ~46% of the convertible pool.</w:t>
      </w:r>
    </w:p>
    <w:p>
      <w:pPr>
        <w:spacing w:before="280" w:after="80"/>
      </w:pPr>
      <w:r>
        <w:rPr>
          <w:b/>
          <w:color w:val="0B5C65"/>
          <w:sz w:val="26"/>
        </w:rPr>
        <w:t>2.  The 10% Conversion — by Slot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Taking 10% of each slot's monthly programmatic impressions and re-selling as PG/PD at $8 / $10: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10% imp / mo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Current rev</w:t>
            </w:r>
          </w:p>
        </w:tc>
        <w:tc>
          <w:tcPr>
            <w:tcW w:type="dxa" w:w="151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Rev @ $8</w:t>
            </w:r>
          </w:p>
        </w:tc>
        <w:tc>
          <w:tcPr>
            <w:tcW w:type="dxa" w:w="151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Rev @ $10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Uplift @ $8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Uplift @ $10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stickyfooter1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508,644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$1,446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$4,069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$5,086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$2,623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$3,640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leaderboard1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159,207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$470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$1,274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$1,592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$804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$1,122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140,165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$416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$1,121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$1,402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$706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$986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122,480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$360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$980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$1,225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$619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$864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inline3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104,244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$304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$834</w:t>
            </w:r>
          </w:p>
        </w:tc>
        <w:tc>
          <w:tcPr>
            <w:tcW w:type="dxa" w:w="151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$1,042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$530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$738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rightrail1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76,652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$239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$613</w:t>
            </w:r>
          </w:p>
        </w:tc>
        <w:tc>
          <w:tcPr>
            <w:tcW w:type="dxa" w:w="151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$767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$374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$528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8"/>
              </w:rPr>
              <w:t>All 6 slots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1,111,393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$3,236</w:t>
            </w:r>
          </w:p>
        </w:tc>
        <w:tc>
          <w:tcPr>
            <w:tcW w:type="dxa" w:w="151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$8,891</w:t>
            </w:r>
          </w:p>
        </w:tc>
        <w:tc>
          <w:tcPr>
            <w:tcW w:type="dxa" w:w="151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$11,114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$5,655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$7,878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45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slot_upl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2 — Incremental monthly revenue by slot at $8 / $10 (10% shift).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Slot takeaway:  </w:t>
            </w:r>
            <w:r>
              <w:rPr>
                <w:color w:val="1F2A30"/>
                <w:sz w:val="22"/>
              </w:rPr>
              <w:t>stickyfooter1 alone contributes ~$2,623–$3,640/month of the total uplift — roughly 46%. Packaging stickyfooter1 as the first PG/PD product captures nearly half the opportunity from a single, high-viewability unit.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3.  Full Detail — Section × Slot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The complete granular view Monica requested. Uplift is monthly, at the base 10% shift.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7"/>
              </w:rPr>
              <w:t>Slot</w:t>
            </w:r>
          </w:p>
        </w:tc>
        <w:tc>
          <w:tcPr>
            <w:tcW w:type="dxa" w:w="216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Prog. imp (period)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Monthly imp</w:t>
            </w:r>
          </w:p>
        </w:tc>
        <w:tc>
          <w:tcPr>
            <w:tcW w:type="dxa" w:w="136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Cur. eCPM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Uplift/mo @ $8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Uplift/mo @ $10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47,410,845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2,633,936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$1,486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$2,012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11,875,493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659,750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$372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$504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11,630,907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646,162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$364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$494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10,920,299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606,683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$342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$464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10,019,326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556,629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$314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$425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4,846,780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269,266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$2.36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$152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$206</w:t>
            </w:r>
          </w:p>
        </w:tc>
      </w:tr>
      <w:tr>
        <w:tc>
          <w:tcPr>
            <w:tcW w:type="dxa" w:w="2160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Entertainment subtotal</w:t>
            </w:r>
          </w:p>
        </w:tc>
        <w:tc>
          <w:tcPr>
            <w:tcW w:type="dxa" w:w="1872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96,703,650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5,372,425</w:t>
            </w:r>
          </w:p>
        </w:tc>
        <w:tc>
          <w:tcPr>
            <w:tcW w:type="dxa" w:w="136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$2.36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$3,030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$4,105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20,185,172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1,121,398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$444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$668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7,007,562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389,309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$154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$232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6,850,100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380,561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$151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$227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5,874,817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326,379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$129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$195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4,930,438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273,913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$108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$163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Health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4,880,198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271,122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$4.04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$107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$162</w:t>
            </w:r>
          </w:p>
        </w:tc>
      </w:tr>
      <w:tr>
        <w:tc>
          <w:tcPr>
            <w:tcW w:type="dxa" w:w="2160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Health subtotal</w:t>
            </w:r>
          </w:p>
        </w:tc>
        <w:tc>
          <w:tcPr>
            <w:tcW w:type="dxa" w:w="1872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49,728,287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2,762,683</w:t>
            </w:r>
          </w:p>
        </w:tc>
        <w:tc>
          <w:tcPr>
            <w:tcW w:type="dxa" w:w="136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$4.04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$1,094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$1,647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19,228,301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1,068,239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$574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$787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6,609,878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367,215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$197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$271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4,331,009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240,612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$129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$177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3,319,301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184,406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$99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$136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2,359,398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131,078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$70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$97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U.S.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2,677,384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148,744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$2.63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$80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$110</w:t>
            </w:r>
          </w:p>
        </w:tc>
      </w:tr>
      <w:tr>
        <w:tc>
          <w:tcPr>
            <w:tcW w:type="dxa" w:w="2160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U.S. subtotal</w:t>
            </w:r>
          </w:p>
        </w:tc>
        <w:tc>
          <w:tcPr>
            <w:tcW w:type="dxa" w:w="1872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38,525,271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2,140,293</w:t>
            </w:r>
          </w:p>
        </w:tc>
        <w:tc>
          <w:tcPr>
            <w:tcW w:type="dxa" w:w="136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$2.63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$1,149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$1,577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2,725,359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151,409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$68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$98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1,551,790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86,211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$56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1,137,367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63,187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$41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885,597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49,200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$22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$32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673,770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37,432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$17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$24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Tech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821,619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45,646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$3.50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$30</w:t>
            </w:r>
          </w:p>
        </w:tc>
      </w:tr>
      <w:tr>
        <w:tc>
          <w:tcPr>
            <w:tcW w:type="dxa" w:w="2160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Tech subtotal</w:t>
            </w:r>
          </w:p>
        </w:tc>
        <w:tc>
          <w:tcPr>
            <w:tcW w:type="dxa" w:w="1872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7,795,502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433,083</w:t>
            </w:r>
          </w:p>
        </w:tc>
        <w:tc>
          <w:tcPr>
            <w:tcW w:type="dxa" w:w="136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$3.50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$195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$282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2,006,324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111,462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$51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$74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1,612,613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89,590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$59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1,280,246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71,125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$47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1,046,394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58,133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$27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$38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781,024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43,390</w:t>
            </w:r>
          </w:p>
        </w:tc>
        <w:tc>
          <w:tcPr>
            <w:tcW w:type="dxa" w:w="136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$20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$29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Science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571,444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31,747</w:t>
            </w:r>
          </w:p>
        </w:tc>
        <w:tc>
          <w:tcPr>
            <w:tcW w:type="dxa" w:w="136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$3.39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$15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6"/>
              </w:rPr>
              <w:t>$21</w:t>
            </w:r>
          </w:p>
        </w:tc>
      </w:tr>
      <w:tr>
        <w:tc>
          <w:tcPr>
            <w:tcW w:type="dxa" w:w="2160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Science subtotal</w:t>
            </w:r>
          </w:p>
        </w:tc>
        <w:tc>
          <w:tcPr>
            <w:tcW w:type="dxa" w:w="1872"/>
            <w:shd w:val="clear" w:fill="DCEAEC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7,298,045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405,447</w:t>
            </w:r>
          </w:p>
        </w:tc>
        <w:tc>
          <w:tcPr>
            <w:tcW w:type="dxa" w:w="136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$3.39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$187</w:t>
            </w:r>
          </w:p>
        </w:tc>
        <w:tc>
          <w:tcPr>
            <w:tcW w:type="dxa" w:w="1728"/>
            <w:shd w:val="clear" w:fill="DCEAEC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$268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  <w:t>GRAND TOTAL</w:t>
            </w:r>
          </w:p>
        </w:tc>
        <w:tc>
          <w:tcPr>
            <w:tcW w:type="dxa" w:w="1872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200,050,755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11,113,931</w:t>
            </w:r>
          </w:p>
        </w:tc>
        <w:tc>
          <w:tcPr>
            <w:tcW w:type="dxa" w:w="136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$2.91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$5,655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6"/>
              </w:rPr>
              <w:t>$7,878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4.  Scenarios — 5% / 10% / 15% Shift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7"/>
              </w:rPr>
              <w:t>Shift level</w:t>
            </w:r>
          </w:p>
        </w:tc>
        <w:tc>
          <w:tcPr>
            <w:tcW w:type="dxa" w:w="273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Incremental / mo @ $8</w:t>
            </w:r>
          </w:p>
        </w:tc>
        <w:tc>
          <w:tcPr>
            <w:tcW w:type="dxa" w:w="273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Incremental / mo @ $10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Annualized @ $8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7"/>
              </w:rPr>
              <w:t>Annualized @ $10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$2,828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$3,939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$33,931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$47,268</w:t>
            </w:r>
          </w:p>
        </w:tc>
      </w:tr>
      <w:tr>
        <w:tc>
          <w:tcPr>
            <w:tcW w:type="dxa" w:w="2016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8"/>
              </w:rPr>
              <w:t>10%</w:t>
            </w:r>
          </w:p>
        </w:tc>
        <w:tc>
          <w:tcPr>
            <w:tcW w:type="dxa" w:w="273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$5,655</w:t>
            </w:r>
          </w:p>
        </w:tc>
        <w:tc>
          <w:tcPr>
            <w:tcW w:type="dxa" w:w="273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$7,878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$67,862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8"/>
              </w:rPr>
              <w:t>$94,536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$8,483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$11,817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$101,794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8"/>
              </w:rPr>
              <w:t>$141,804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5.  What This Means (for Monica)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Focus — </w:t>
      </w:r>
      <w:r>
        <w:rPr>
          <w:color w:val="1F2A30"/>
          <w:sz w:val="22"/>
        </w:rPr>
        <w:t>go slot-first, not section-first: stickyfooter1 is ~46% of the programmatic pool — one product captures nearly half the upside.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Impact — </w:t>
      </w:r>
      <w:r>
        <w:rPr>
          <w:color w:val="1F2A30"/>
          <w:sz w:val="22"/>
        </w:rPr>
        <w:t>converting 10% of programmatic across these slots adds $5,655–$7,878/month (~$67,862–$94,536/year); 15% scales it ~1.5×.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Headroom — </w:t>
      </w:r>
      <w:r>
        <w:rPr>
          <w:color w:val="1F2A30"/>
          <w:sz w:val="22"/>
        </w:rPr>
        <w:t>premium slots clear at ~$2–$4 programmatically vs direct at $17–$33; PG/PD at $8–$10 captures the middle without cannibalizing direct.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Sequence — </w:t>
      </w:r>
      <w:r>
        <w:rPr>
          <w:color w:val="1F2A30"/>
          <w:sz w:val="22"/>
        </w:rPr>
        <w:t>stickyfooter1 → leaderboard1 → inline units, phased over 30/60/90 days as deals are signed.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One-line answer:  </w:t>
            </w:r>
            <w:r>
              <w:rPr>
                <w:color w:val="1F2A30"/>
                <w:sz w:val="22"/>
              </w:rPr>
              <w:t>“Slot-by-slot, converting 10% of programmatic in these top-6 units to PG/PD at $8–$10 lifts them from $3,236 to $8,891–$11,114 per month — ~$5,655–$7,878 incremental every month — and nearly half of that comes from a single unit, stickyfooter1.”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i/>
          <w:color w:val="5B6B73"/>
          <w:sz w:val="17"/>
        </w:rPr>
        <w:t>Scope note: five sections (Entertainment, U.S., Health, Tech, Science) × six top slots; US inventory. Impressions from GAM pivot; current programmatic eCPM applied from the confirmed section rate card (impressions-only source). Monthly = period ÷ 18 (assumed window Jan-2025–Jun-2026; confirm). World &amp; Politics not included (additive). Prepared by Databeat for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