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Nativo SSP Optimization Roadmap</w:t>
      </w:r>
    </w:p>
    <w:p>
      <w:pPr>
        <w:pStyle w:val="Subtitle"/>
      </w:pPr>
      <w:r>
        <w:t xml:space="preserve">Prepared: May 2026</w:t>
      </w:r>
    </w:p>
    <w:p>
      <w:pPr>
        <w:pStyle w:val="Heading1"/>
      </w:pPr>
      <w:r>
        <w:t xml:space="preserve">Executive Summary</w:t>
      </w:r>
    </w:p>
    <w:p>
      <w:pPr>
        <w:pStyle w:val="BodyText"/>
      </w:pPr>
      <w:r>
        <w:t xml:space="preserve">Nativo's structural advantage is native adjacency: editorial context that the rest of the SSP landscape cannot easily replicate. The roadmap below is built so that this advantage compounds rather than leaks. It is organised buy-side-first: tighten the auction, clean the supply, route demand intelligently, productize the signals, expand into the formats the buy side is actively budgeting against, harden operations, and measure everything.</w:t>
      </w:r>
    </w:p>
    <w:p>
      <w:pPr>
        <w:pStyle w:val="BodyText"/>
      </w:pPr>
      <w:r>
        <w:t xml:space="preserve">The document covers 62 initiatives across 8 sections. Each initiative follows the same structure: What it is, How to do it, KPIs to watch. A phased roadmap and a risks-and-dependencies summary close the document.</w:t>
      </w:r>
    </w:p>
    <w:p>
      <w:pPr>
        <w:pStyle w:val="BodyText"/>
      </w:pPr>
      <w:r>
        <w:t xml:space="preserve">The strategic narrative for leadership: Phase 1 protects and grows current revenue by removing leakage; Phase 2 converts the cleaner foundation into premium pricing and new revenue lines (curation, PG, signal productization); Phase 3 builds defensibility (attention, Privacy Sandbox readiness, lift-tested optimization, transparency).</w:t>
      </w:r>
    </w:p>
    <w:p>
      <w:pPr>
        <w:pStyle w:val="BodyText"/>
      </w:pPr>
      <w:r>
        <w:t xml:space="preserve">The tactical narrative for product and engineering: most items map to existing surfaces (floor engine, traffic shaper, Prebid wrapper, deal manager) and can be sequenced as parameter and signal changes before larger systems work (PAAPI, lift-testing infra, unified decisioning). Sequencing detail is in section I.</w:t>
      </w:r>
    </w:p>
    <w:p>
      <w:pPr>
        <w:pStyle w:val="Heading1"/>
      </w:pPr>
      <w:r>
        <w:t xml:space="preserve">How to Read This Document</w:t>
      </w:r>
    </w:p>
    <w:p>
      <w:pPr>
        <w:pStyle w:val="BodyText"/>
      </w:pPr>
      <w:r>
        <w:t xml:space="preserve">Sections A through H are the initiative catalogue, grouped buy-side-first.</w:t>
      </w:r>
    </w:p>
    <w:p>
      <w:pPr>
        <w:pStyle w:val="ListBullet"/>
        <w:numPr>
          <w:ilvl w:val="0"/>
          <w:numId w:val="1"/>
        </w:numPr>
      </w:pPr>
      <w:r>
        <w:t xml:space="preserve">A. Auction and Floor Mechanics</w:t>
      </w:r>
    </w:p>
    <w:p>
      <w:pPr>
        <w:pStyle w:val="ListBullet"/>
        <w:numPr>
          <w:ilvl w:val="0"/>
          <w:numId w:val="1"/>
        </w:numPr>
      </w:pPr>
      <w:r>
        <w:t xml:space="preserve">B. Supply Quality and Inventory Hygiene</w:t>
      </w:r>
    </w:p>
    <w:p>
      <w:pPr>
        <w:pStyle w:val="ListBullet"/>
        <w:numPr>
          <w:ilvl w:val="0"/>
          <w:numId w:val="1"/>
        </w:numPr>
      </w:pPr>
      <w:r>
        <w:t xml:space="preserve">C. Demand Side and Path Optimization</w:t>
      </w:r>
    </w:p>
    <w:p>
      <w:pPr>
        <w:pStyle w:val="ListBullet"/>
        <w:numPr>
          <w:ilvl w:val="0"/>
          <w:numId w:val="1"/>
        </w:numPr>
      </w:pPr>
      <w:r>
        <w:t xml:space="preserve">D. Signals, Identity, and Audience Productization</w:t>
      </w:r>
    </w:p>
    <w:p>
      <w:pPr>
        <w:pStyle w:val="ListBullet"/>
        <w:numPr>
          <w:ilvl w:val="0"/>
          <w:numId w:val="1"/>
        </w:numPr>
      </w:pPr>
      <w:r>
        <w:t xml:space="preserve">E. PMP, Curation, and Direct Deals</w:t>
      </w:r>
    </w:p>
    <w:p>
      <w:pPr>
        <w:pStyle w:val="ListBullet"/>
        <w:numPr>
          <w:ilvl w:val="0"/>
          <w:numId w:val="1"/>
        </w:numPr>
      </w:pPr>
      <w:r>
        <w:t xml:space="preserve">F. Format Expansion</w:t>
      </w:r>
    </w:p>
    <w:p>
      <w:pPr>
        <w:pStyle w:val="ListBullet"/>
        <w:numPr>
          <w:ilvl w:val="0"/>
          <w:numId w:val="1"/>
        </w:numPr>
      </w:pPr>
      <w:r>
        <w:t xml:space="preserve">G. Operational Levers and Publisher Ops</w:t>
      </w:r>
    </w:p>
    <w:p>
      <w:pPr>
        <w:pStyle w:val="ListBullet"/>
        <w:numPr>
          <w:ilvl w:val="0"/>
          <w:numId w:val="1"/>
        </w:numPr>
      </w:pPr>
      <w:r>
        <w:t xml:space="preserve">H. Measurement and Attribution</w:t>
      </w:r>
    </w:p>
    <w:p>
      <w:pPr>
        <w:pStyle w:val="BodyText"/>
      </w:pPr>
      <w:r>
        <w:t xml:space="preserve">Section I sequences the initiatives across three phases. Section J summarises risks and dependencies.</w:t>
      </w:r>
    </w:p>
    <w:p>
      <w:pPr>
        <w:pStyle w:val="Heading1"/>
      </w:pPr>
      <w:r>
        <w:t xml:space="preserve">A. Auction and Floor Mechanics</w:t>
      </w:r>
    </w:p>
    <w:p>
      <w:pPr>
        <w:pStyle w:val="BodyText"/>
      </w:pPr>
      <w:r>
        <w:t xml:space="preserve">Tighten the core auction so every winning bid clears at the highest defensible price. These levers are the foundation: every downstream demand and packaging initiative compounds on top of a clean auction.</w:t>
      </w:r>
    </w:p>
    <w:p>
      <w:pPr>
        <w:pStyle w:val="Heading3"/>
      </w:pPr>
      <w:r>
        <w:t xml:space="preserve">1. Bid-Shading Countermeasures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DSPs shade aggressively against predictable dynamic floors. Add jitter and rotation to break their shading models.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Inject plus or minus 5 to 10 percent stochastic noise around the dynamic floor; rotate floor logic variants per auction; monitor DSP bid-distribution histograms to detect when shading is winning.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Bid-shading detection rate, post-jitter eCPM lift, win-price vs floor distance.</w:t>
      </w:r>
    </w:p>
    <w:p>
      <w:pPr>
        <w:pStyle w:val="Heading3"/>
      </w:pPr>
      <w:r>
        <w:t xml:space="preserve">2. Net-Revenue Floor Optimization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Optimize floors for net revenue after take rate, data costs, and infra, not gross CPM.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Build a margin-aware floor objective function; feed in per-DSP take rate, per-publisher revshare, and per-request infra cost; A/B test against the gross-CPM-optimized baseline.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Net margin per impression, gross-vs-net CPM divergence, contribution margin.</w:t>
      </w:r>
    </w:p>
    <w:p>
      <w:pPr>
        <w:pStyle w:val="Heading3"/>
      </w:pPr>
      <w:r>
        <w:t xml:space="preserve">3. Real-Time Bid-Landscape Anchoring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Anchor floors to live bid density rather than historical CPM averages. Historical anchoring always lags the market.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Shift the floor model from a rolling-window historical baseline to in-flight bid density across the last N bids in the segment; reduce update latency from hours to minutes.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Floor-to-clearing-price gap, market-shift response time, floor-driven no-bid percentage.</w:t>
      </w:r>
    </w:p>
    <w:p>
      <w:pPr>
        <w:pStyle w:val="Heading3"/>
      </w:pPr>
      <w:r>
        <w:t xml:space="preserve">4. Automated Parameter Search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Most SSPs A/B floor strategies, not parameters. Use Bayesian or multi-armed bandit search to tune parameters per segment continuously.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Define the parameter space (jitter percentage, anchor window, segment granularity); run bandit allocation across cells; auto-promote winning parameters.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Parameters tuned per quarter, lift per tuning cycle, exploration vs exploitation ratio.</w:t>
      </w:r>
    </w:p>
    <w:p>
      <w:pPr>
        <w:pStyle w:val="Heading3"/>
      </w:pPr>
      <w:r>
        <w:t xml:space="preserve">5. First-Price Hygiene Audit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Verify the auction is truly first-price end-to-end. Hidden second-price logic anywhere in the stack costs 5 to 15 percent.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Trace one impression end-to-end through every fee and auction hop; check Prebid translators, DSP responses, and internal re-auction logic; remove any reduction steps.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Win price equals bid price match percentage, fee-leakage dollars.</w:t>
      </w:r>
    </w:p>
    <w:p>
      <w:pPr>
        <w:pStyle w:val="Heading3"/>
      </w:pPr>
      <w:r>
        <w:t xml:space="preserve">6. Late-Bid Acceptance and Bid Caching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Accept bids that arrive slightly after timeout if they would win. Recovers 2 to 4 percent of lost revenue.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Define a 50 to 100 millisecond grace window post-timeout; accept only if the bid clears the current top; measure end-user latency impact to avoid UX regression.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Late-bid win rate, revenue recovered, page-load impact.</w:t>
      </w:r>
    </w:p>
    <w:p>
      <w:pPr>
        <w:pStyle w:val="Heading3"/>
      </w:pPr>
      <w:r>
        <w:t xml:space="preserve">7. Quality-Weighted Tie Breaking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When bids are within 1 percent, break ties by buyer quality (low IVT, low dispute rate), not alphabetic or random.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Build a buyer quality score (IVT, dispute, brand-safety history); apply it within the tie-break threshold; document the rules transparently to buyers.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Tie-break event count, complaint rate post-rule, buyer quality score distribution.</w:t>
      </w:r>
    </w:p>
    <w:p>
      <w:pPr>
        <w:pStyle w:val="Heading3"/>
      </w:pPr>
      <w:r>
        <w:t xml:space="preserve">8. Reserve Price Personalization Per Buyer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Buyer-specific floors based on each DSP's historical willingness-to-pay outperform a single global floor curve.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Cluster DSPs by clearing-price elasticity; set per-buyer reserve prices conditioned on segment, geo, and time-of-day; bound deviations to avoid disclosure risk.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Per-buyer eCPM lift, no-bid rate per buyer, blended margin.</w:t>
      </w:r>
    </w:p>
    <w:p>
      <w:pPr>
        <w:pStyle w:val="Heading3"/>
      </w:pPr>
      <w:r>
        <w:t xml:space="preserve">9. Bid Duplication Detection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The same impression hitting multiple paths inflates QPS, erodes DSP trust, and triggers throttling.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Hash impression keys at the edge; flag duplicate request fan-out from publisher wrappers; alert on duplication ratios above a defined threshold; collapse where contractually permitted.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Duplication ratio per publisher, DSP throttle events, infra cost per win.</w:t>
      </w:r>
    </w:p>
    <w:p>
      <w:pPr>
        <w:pStyle w:val="Heading1"/>
      </w:pPr>
      <w:r>
        <w:t xml:space="preserve">B. Supply Quality and Inventory Hygiene</w:t>
      </w:r>
    </w:p>
    <w:p>
      <w:pPr>
        <w:pStyle w:val="BodyText"/>
      </w:pPr>
      <w:r>
        <w:t xml:space="preserve">Buy-side budgets follow clean supply. Continuous supply-quality controls are now table-stakes for preferred-path designation and for retaining performance budgets that route around MFA and IVT exposure.</w:t>
      </w:r>
    </w:p>
    <w:p>
      <w:pPr>
        <w:pStyle w:val="Heading3"/>
      </w:pPr>
      <w:r>
        <w:t xml:space="preserve">10. MFA Detection and Suppression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Identify and downrank Made-for-Advertising inventory that the buy side is actively avoiding.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Score domains using ad density, session duration, content originality, and refresh patterns; integrate Jounce and DV signals; suppress or floor-elevate high-MFA supply.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Percent MFA traffic, post-suppression CPM lift, DSP MFA-block rate.</w:t>
      </w:r>
    </w:p>
    <w:p>
      <w:pPr>
        <w:pStyle w:val="Heading3"/>
      </w:pPr>
      <w:r>
        <w:t xml:space="preserve">11. Real-Time IVT and GIVT Monitoring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Continuous monitoring at impression level, not monthly batch reports.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Real-time IVT scoring; geo, publisher, and device segmentation; integrate IAS, DV, and HUMAN signals; automated suppression rules; quarterly buyer-facing transparency reports.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GIVT percent, SIVT percent, makegood and clawback dollars, buyer dispute rate.</w:t>
      </w:r>
    </w:p>
    <w:p>
      <w:pPr>
        <w:pStyle w:val="Heading3"/>
      </w:pPr>
      <w:r>
        <w:t xml:space="preserve">12. Domain and Category Tiering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Curated allow-list with category exclusions to protect auction quality.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Tiered domain list (premium, standard, restricted); monthly review of low-engagement and high-complaint domains; expose category controls to buyers via deal IDs.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CPM by tier, complaint rate, fill-rate impact post-removal.</w:t>
      </w:r>
    </w:p>
    <w:p>
      <w:pPr>
        <w:pStyle w:val="Heading3"/>
      </w:pPr>
      <w:r>
        <w:t xml:space="preserve">13. Ads.txt and Seller.json Hygiene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Ensure every reseller path is authorised and current. Automated, not quarterly manual.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Automated weekly crawl of publisher ads.txt; reconcile against seller.json; alert on unauthorised entries; remove stale paths; publish a compliance dashboard.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Percent authorised paths, DSP trust scores, blocked-path revenue.</w:t>
      </w:r>
    </w:p>
    <w:p>
      <w:pPr>
        <w:pStyle w:val="Heading3"/>
      </w:pPr>
      <w:r>
        <w:t xml:space="preserve">14. Deal ID Hygiene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Most SSPs accumulate hundreds of stale deal IDs. Auditing and culling builds DSP trust.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Quarterly audit of all active deal IDs; flag zero-spend deals; expire after 90 days inactive; publish a deal-catalog dashboard to buyers.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Active deal count, stale deal percent, buyer deal-catalog feedback.</w:t>
      </w:r>
    </w:p>
    <w:p>
      <w:pPr>
        <w:pStyle w:val="Heading3"/>
      </w:pPr>
      <w:r>
        <w:t xml:space="preserve">15. Creative Quality and Brand Suitability Tiering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Beyond IVT, buyers want creative-level quality and brand-suitability tiering at the bid-stream layer.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Classify creatives via category, sensitive-content tags, and historical complaint rate; pass tier signals in bid responses; expose suitability filters to PMP buyers.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Suitability-tier CPM premium, creative complaint rate, buyer brand-safety pass rate.</w:t>
      </w:r>
    </w:p>
    <w:p>
      <w:pPr>
        <w:pStyle w:val="Heading3"/>
      </w:pPr>
      <w:r>
        <w:t xml:space="preserve">16. Automated Makegood and Clawback Workflow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Manual makegood and clawback handling is operationally expensive and slows buyer trust recovery.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Tie IVT and viewability monitoring directly to a workflow engine; auto-issue makegoods and process clawbacks within an SLA; expose status to buyers via portal.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Time-to-resolution, manual ops hours saved, buyer dispute satisfaction.</w:t>
      </w:r>
    </w:p>
    <w:p>
      <w:pPr>
        <w:pStyle w:val="Heading1"/>
      </w:pPr>
      <w:r>
        <w:t xml:space="preserve">C. Demand Side and Path Optimization</w:t>
      </w:r>
    </w:p>
    <w:p>
      <w:pPr>
        <w:pStyle w:val="BodyText"/>
      </w:pPr>
      <w:r>
        <w:t xml:space="preserve">Send fewer, smarter requests; route them to the buyer most likely to clear at the highest net price; and earn preferred-path status with the DSPs that drive incremental spend.</w:t>
      </w:r>
    </w:p>
    <w:p>
      <w:pPr>
        <w:pStyle w:val="Heading3"/>
      </w:pPr>
      <w:r>
        <w:t xml:space="preserve">17. DSP-Specific Traffic Shaping and QPS Capacity Alignment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Global shaping leaves money on the table. Each DSP has different sweet spots and stated QPS capacity; wasted QPS equals lost spend and triggers throttling.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Profile each top DSP on what they buy (geo, device, format, viewability, audience); train a per-DSP send-decision model; survey and enforce per-DSP QPS caps; allocate based on revenue-per-request rank.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Per-DSP bid rate, per-DSP win rate, QPS efficiency ratio, infra cost per dollar of revenue.</w:t>
      </w:r>
    </w:p>
    <w:p>
      <w:pPr>
        <w:pStyle w:val="Heading3"/>
      </w:pPr>
      <w:r>
        <w:t xml:space="preserve">18. Predicted-Revenue Ranking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Do not just suppress no-bid traffic. Rank by expected revenue and send the top N percent to each DSP within their stated QPS cap.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Train a predicted-revenue model (geo by placement by signal by DSP history); enforce per-DSP QPS budgets; send the highest-ranked requests first.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Revenue per request sent, QPS utilization, DSP no-bid percent.</w:t>
      </w:r>
    </w:p>
    <w:p>
      <w:pPr>
        <w:pStyle w:val="Heading3"/>
      </w:pPr>
      <w:r>
        <w:t xml:space="preserve">19. Win-Rate Feedback Loop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When win rate drops on a segment, the DSP is likely throttling. Pull back proactively before they blacklist.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Monitor win-rate per DSP and segment in 15-minute windows; auto-reduce send-rate when win-rate drops below the DSP-specific threshold; alert the account team.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Win-rate stability, DSP throttle events avoided, segment-level send-rate.</w:t>
      </w:r>
    </w:p>
    <w:p>
      <w:pPr>
        <w:pStyle w:val="Heading3"/>
      </w:pPr>
      <w:r>
        <w:t xml:space="preserve">20. SPO Positioning with Top DSPs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Become a preferred or direct path for top DSPs by reducing duplication and fee layers.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Pull DSP SPO scorecards; identify duplicate reseller chains; deprecate low-margin routes; pitch DSPs with a one-page SPO narrative covering fee stack, latency, quality, and signal richness.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Preferred-path designation count, DSP-level spend share, fee transparency score.</w:t>
      </w:r>
    </w:p>
    <w:p>
      <w:pPr>
        <w:pStyle w:val="Heading3"/>
      </w:pPr>
      <w:r>
        <w:t xml:space="preserve">21. Asymmetric Signal Distribution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Send richer signals to preferred-path DSPs only. Creates a real incentive for SPO designation.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Tier signal payloads by DSP relationship; preferred DSPs get full first-party, attention, and audience overlays; document the tiering as a buyer benefit.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Preferred-DSP CPM uplift vs standard, SPO conversion rate.</w:t>
      </w:r>
    </w:p>
    <w:p>
      <w:pPr>
        <w:pStyle w:val="Heading3"/>
      </w:pPr>
      <w:r>
        <w:t xml:space="preserve">22. Latency Optimization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Reduce auction round-trip time. DSPs drop slow paths from the auction.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Measure end-to-end latency per DSP and geo; trim payload size; co-locate with key DSPs; tune TCP and TLS reuse; right-size timeouts per DSP capacity.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p50 and p95 latency, DSP drop-off rate, win-rate vs latency curve.</w:t>
      </w:r>
    </w:p>
    <w:p>
      <w:pPr>
        <w:pStyle w:val="Heading3"/>
      </w:pPr>
      <w:r>
        <w:t xml:space="preserve">23. Bid Request Signal Enrichment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Improve OpenRTB payload quality. DSPs bid more when signals are richer.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Audit current payload (user, context, placement, supplychain); add GPID, content object, sua, and dooh signals where relevant; validate per DSP feedback loop.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Bid rate by DSP, CPM uplift per added signal, DSP signal-completeness score.</w:t>
      </w:r>
    </w:p>
    <w:p>
      <w:pPr>
        <w:pStyle w:val="Heading3"/>
      </w:pPr>
      <w:r>
        <w:t xml:space="preserve">24. Demand Partner Diversification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Map current DSP coverage against the target universe and close gaps.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Maintain a target list of 40-plus DSPs across retail-media, CTV, EMEA, and APAC; prioritise by estimated spend and integration cost; run a quarterly onboarding cadence.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Number of active DSPs, top-5 concentration percent, fill from new DSPs.</w:t>
      </w:r>
    </w:p>
    <w:p>
      <w:pPr>
        <w:pStyle w:val="Heading3"/>
      </w:pPr>
      <w:r>
        <w:t xml:space="preserve">25. Retail Media DSP Onboarding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Onboard fast-growing retail media DSPs (Criteo RM, CitrusAd, Skai) actively seeking native supply.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Native-format spec alignment; commerce-intent signal exposure; pilot with one anchor advertiser per DSP.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Retail-media revenue percent, new-advertiser count.</w:t>
      </w:r>
    </w:p>
    <w:p>
      <w:pPr>
        <w:pStyle w:val="Heading3"/>
      </w:pPr>
      <w:r>
        <w:t xml:space="preserve">26. International Demand Expansion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Onboard strong EMEA and APAC DSPs to lift non-US CPMs.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Audit non-US fill and CPM gaps; onboard 3 to 5 regional DSPs; localise floors and currency settings.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Non-US eCPM, geo fill rate.</w:t>
      </w:r>
    </w:p>
    <w:p>
      <w:pPr>
        <w:pStyle w:val="Heading3"/>
      </w:pPr>
      <w:r>
        <w:t xml:space="preserve">27. Buyer Whitelist and Performance Tiering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Promote high-quality buyers; restrict low-CPM, low-quality bidders.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Score buyers by CPM contribution, win-rate, dispute rate, and IVT exposure; tier into premium, standard, and restricted; gate inventory access by tier.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Buyer-tier CPM, low-tier suppression dollars recovered.</w:t>
      </w:r>
    </w:p>
    <w:p>
      <w:pPr>
        <w:pStyle w:val="Heading3"/>
      </w:pPr>
      <w:r>
        <w:t xml:space="preserve">28. Minimum Spend and Volume Commitments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Contractual spend commitments from top DSPs and agencies.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Quarterly commitments tied to first-look, preferred-path status, or PMP packages; monthly pacing reviews.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Committed dollars, commitment-vs-delivery percent, churn risk score.</w:t>
      </w:r>
    </w:p>
    <w:p>
      <w:pPr>
        <w:pStyle w:val="Heading3"/>
      </w:pPr>
      <w:r>
        <w:t xml:space="preserve">29. Bid Loss and Win Rate Analytics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Operationalise bid-loss reasons (price, targeting, format, frequency) as a recurring optimisation input.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Parse DSP nbr and loss codes; produce a weekly dashboard per DSP; route price-loss to the floor team and targeting-loss to the signal team.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Loss reason mix shift, win-rate uplift after intervention.</w:t>
      </w:r>
    </w:p>
    <w:p>
      <w:pPr>
        <w:pStyle w:val="Heading3"/>
      </w:pPr>
      <w:r>
        <w:t xml:space="preserve">30. Geo-Pricing Arbitrage and Routing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The same impression can clear higher via different DSP routing. The same impression to a US DSP vs an EU DSP can differ 10 to 20 percent.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Build routing logic that considers DSP geo-pricing curves; route to the highest-paying eligible DSP per impression.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Geo-routed CPM uplift, routing-decision accuracy.</w:t>
      </w:r>
    </w:p>
    <w:p>
      <w:pPr>
        <w:pStyle w:val="Heading3"/>
      </w:pPr>
      <w:r>
        <w:t xml:space="preserve">31. Bid-Stream A/B Testing for Buyers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Let DSPs run controlled experiments on Nativo supply. Sticky differentiator that deepens buy-side integration.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Expose a sandboxed experiment framework to top DSPs (signal variants, floor variants, payload variants); enforce statistical guardrails; share results in standardised reports.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DSP experiments per quarter, post-experiment spend uplift, DSP NPS.</w:t>
      </w:r>
    </w:p>
    <w:p>
      <w:pPr>
        <w:pStyle w:val="Heading1"/>
      </w:pPr>
      <w:r>
        <w:t xml:space="preserve">D. Signals, Identity, and Audience Productization</w:t>
      </w:r>
    </w:p>
    <w:p>
      <w:pPr>
        <w:pStyle w:val="BodyText"/>
      </w:pPr>
      <w:r>
        <w:t xml:space="preserve">Treat the bid-stream as inventory. Audit what is being given away free, productize what differentiates Nativo (native adjacency, attention, first-party content behaviour), and stay current on identity and privacy frameworks the buy side is steering spend toward.</w:t>
      </w:r>
    </w:p>
    <w:p>
      <w:pPr>
        <w:pStyle w:val="Heading3"/>
      </w:pPr>
      <w:r>
        <w:t xml:space="preserve">32. Signal Productization and Monetization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Audit what is currently given away free in the bid stream (first-party data, attention, sentiment, return-visitor) and productize as paid overlays.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Inventory all signals currently exposed; classify as free, premium, or restricted; build pricing tiers; pitch as audience-uplift over base CPM.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Signal-overlay revenue, premium-signal adoption percent.</w:t>
      </w:r>
    </w:p>
    <w:p>
      <w:pPr>
        <w:pStyle w:val="Heading3"/>
      </w:pPr>
      <w:r>
        <w:t xml:space="preserve">33. Identity Integration (UID2, RampID, ID5)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Support major privacy-safe identity frameworks. DSPs increasingly route spend to authenticated supply.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Integrate UID2.0, LiveRamp RampID, and ID5; pass authenticated IDs where consent permits; publish authenticated-supply percent to buyers.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Authenticated impressions percent, CPM authenticated vs anonymous, DSP match rate.</w:t>
      </w:r>
    </w:p>
    <w:p>
      <w:pPr>
        <w:pStyle w:val="Heading3"/>
      </w:pPr>
      <w:r>
        <w:t xml:space="preserve">34. Cross-Device Identity Graph Integration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A single ID framework caps match rates. Layering a cross-device graph lifts authenticated reach beyond any one provider.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Integrate one or two cross-device graph providers (LiveRamp, Adstra, or equivalent); blend with UID2 and ID5; publish blended match-rate uplift to buyers.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Blended match rate, cross-device CPM premium, authenticated reach uplift.</w:t>
      </w:r>
    </w:p>
    <w:p>
      <w:pPr>
        <w:pStyle w:val="Heading3"/>
      </w:pPr>
      <w:r>
        <w:t xml:space="preserve">35. Contextual Targeting Productization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Productise content adjacency, IAB taxonomy, sentiment, and brand-suitability as a cookieless signal layer.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Classify content via NLP; output IAB v3 plus brand-suitability tiers and sentiment; expose as bid-stream signals and deal-ID overlays.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Contextual deal CPM lift, buyer adoption rate.</w:t>
      </w:r>
    </w:p>
    <w:p>
      <w:pPr>
        <w:pStyle w:val="Heading3"/>
      </w:pPr>
      <w:r>
        <w:t xml:space="preserve">36. First-Party Audience Packaging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Turn content-consumption behaviour into buyable audience segments.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Define segments by article-category affinity, engagement depth, and return frequency; package as deal-ID overlays; price as audience uplift over base CPM.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Segment CPM uplift, segment deal revenue.</w:t>
      </w:r>
    </w:p>
    <w:p>
      <w:pPr>
        <w:pStyle w:val="Heading3"/>
      </w:pPr>
      <w:r>
        <w:t xml:space="preserve">37. Seller-Defined Audiences (SDA)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IAB Tech Lab cookieless standard. Buy side increasingly asking, low effort to support.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Map first-party audience definitions to SDA taxonomy IDs; pass in the bid stream; document buyer-facing as a cookieless-ready signal.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SDA-tagged impressions percent, SDA-deal CPM premium.</w:t>
      </w:r>
    </w:p>
    <w:p>
      <w:pPr>
        <w:pStyle w:val="Heading3"/>
      </w:pPr>
      <w:r>
        <w:t xml:space="preserve">38. Attention and Viewability Measurement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Integrate attention vendors (Adelaide, Lumen) to quantify native's engagement advantage.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Wire vendor SDKs into native placements; surface attention scores to buyers; use as floor-justification in PMP pitches.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Attention score, viewability percent, CPM lift on attention-verified deals.</w:t>
      </w:r>
    </w:p>
    <w:p>
      <w:pPr>
        <w:pStyle w:val="Heading3"/>
      </w:pPr>
      <w:r>
        <w:t xml:space="preserve">39. Privacy Sandbox Readiness (Topics, Protected Audience API)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Chrome's privacy roadmap continues to evolve. Being demonstrably ready protects spend from buyers steering away from non-compliant supply.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Implement Topics API ingestion; pilot Protected Audience API auctions for native; publish a privacy-sandbox readiness scorecard for buyers.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PAAPI win rate, Topics-tagged impressions percent, buyer privacy-readiness score.</w:t>
      </w:r>
    </w:p>
    <w:p>
      <w:pPr>
        <w:pStyle w:val="Heading3"/>
      </w:pPr>
      <w:r>
        <w:t xml:space="preserve">40. Consent String Hygiene (TCF v2.2, GPP)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Malformed or stale consent strings silently lose demand in EU and US state markets. Most SSPs do not actively monitor.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Validate TCF v2.2 and GPP strings at the edge; reject or repair malformed strings; alert publishers to misconfigured CMPs; report consent-pass rate by geo.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Consent-pass rate by geo, demand recovered from validation, CMP misconfiguration alerts resolved.</w:t>
      </w:r>
    </w:p>
    <w:p>
      <w:pPr>
        <w:pStyle w:val="Heading1"/>
      </w:pPr>
      <w:r>
        <w:t xml:space="preserve">E. PMP, Curation, and Direct Deals</w:t>
      </w:r>
    </w:p>
    <w:p>
      <w:pPr>
        <w:pStyle w:val="BodyText"/>
      </w:pPr>
      <w:r>
        <w:t xml:space="preserve">Convert the cleaner foundation and richer signals into premium-priced deals and new revenue lines. PMP and curation are where Nativo's native adjacency story compounds into pricing power.</w:t>
      </w:r>
    </w:p>
    <w:p>
      <w:pPr>
        <w:pStyle w:val="Heading3"/>
      </w:pPr>
      <w:r>
        <w:t xml:space="preserve">41. PMP Packaging on Native Adjacency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Standardised private marketplace packages built around native content adjacency. Nativo's unique signal.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Bundle by vertical (commerce, finance, lifestyle), geo, and audience signal; set deal floors 20 to 40 percent above open auction; pitch agency trading desks directly.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PMP revenue share percent, PMP eCPM vs open auction, deal win-rate.</w:t>
      </w:r>
    </w:p>
    <w:p>
      <w:pPr>
        <w:pStyle w:val="Heading3"/>
      </w:pPr>
      <w:r>
        <w:t xml:space="preserve">42. Curation-as-a-Product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Sell curated inventory bundles to OTHER SSPs and DSPs as a curation layer (OpenPath, ClearLine). New revenue line, no cannibalization.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Define 3 to 5 hero bundles (Nativo Lifestyle Premium, Commerce Intent Native); integrate as curator on partner platforms; co-marketing with curation partners.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Curation revenue, new buyer count, partner platform spend.</w:t>
      </w:r>
    </w:p>
    <w:p>
      <w:pPr>
        <w:pStyle w:val="Heading3"/>
      </w:pPr>
      <w:r>
        <w:t xml:space="preserve">43. Buyer Self-Serve Curation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Let buyers build deal IDs from your taxonomy without sales involvement. Reduces sales cycle friction.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Build a self-serve curation UI exposing IAB taxonomy plus audience segments and supply tiers; auto-generate deal IDs; usage-based pricing.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Self-serve deal count, time-to-deal, sales hours saved.</w:t>
      </w:r>
    </w:p>
    <w:p>
      <w:pPr>
        <w:pStyle w:val="Heading3"/>
      </w:pPr>
      <w:r>
        <w:t xml:space="preserve">44. First-Look and Preferred Deals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First-look deal IDs in exchange for spend commitments from top DSPs.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Identify the top 10 DSPs by spend; structure first-look with floor plus volume commitment; track delivery weekly; auto-fallback to open auction if under-pacing.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First-look fill, committed-vs-actual spend, incremental CPM.</w:t>
      </w:r>
    </w:p>
    <w:p>
      <w:pPr>
        <w:pStyle w:val="Heading3"/>
      </w:pPr>
      <w:r>
        <w:t xml:space="preserve">45. Advertiser Category Demand Mapping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Map which advertiser categories demand which inventory types. Feeds PMP packaging and sales.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Cluster historical bids by advertiser vertical and supply attributes; surface high-demand-low-supply cells; use for PMP creation and sales targeting.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Category fill rate, category CPM, PMP creation velocity.</w:t>
      </w:r>
    </w:p>
    <w:p>
      <w:pPr>
        <w:pStyle w:val="Heading3"/>
      </w:pPr>
      <w:r>
        <w:t xml:space="preserve">46. Programmatic Guaranteed Automation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Most PG deal execution is still manual. Automating it captures upfront-style commitments without the operational drag.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Build PG deal execution into the same engine as PMP; automate forecasting, pacing, and delivery reporting; expose buyer-side and seller-side dashboards.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PG revenue share, PG pacing accuracy, manual ops hours per PG deal.</w:t>
      </w:r>
    </w:p>
    <w:p>
      <w:pPr>
        <w:pStyle w:val="Heading3"/>
      </w:pPr>
      <w:r>
        <w:t xml:space="preserve">47. Inventory Forecasting for PG and Upfronts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PG and upfront commitments require credible forecasts. Without them, sales under-commits or oversells.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Train an inventory-forecasting model (placement, geo, audience, seasonality); expose confidence intervals to sales; feed pacing engine.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Forecast accuracy (MAPE), upfront commit dollars, oversell rate.</w:t>
      </w:r>
    </w:p>
    <w:p>
      <w:pPr>
        <w:pStyle w:val="Heading1"/>
      </w:pPr>
      <w:r>
        <w:t xml:space="preserve">F. Format Expansion</w:t>
      </w:r>
    </w:p>
    <w:p>
      <w:pPr>
        <w:pStyle w:val="BodyText"/>
      </w:pPr>
      <w:r>
        <w:t xml:space="preserve">Extend Nativo's adjacency logic into higher-CPM formats and into formats the buy side is actively budgeting against.</w:t>
      </w:r>
    </w:p>
    <w:p>
      <w:pPr>
        <w:pStyle w:val="Heading3"/>
      </w:pPr>
      <w:r>
        <w:t xml:space="preserve">48. In-Stream Native Video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Sponsored video in editorial context. Extends Nativo's adjacency logic into a higher-CPM format.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Define an in-stream native spec; pilot with 3 to 5 publishers; align with video-buying DSPs; price as native-premium video.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Video native CPM vs display native, publisher adoption count.</w:t>
      </w:r>
    </w:p>
    <w:p>
      <w:pPr>
        <w:pStyle w:val="Heading3"/>
      </w:pPr>
      <w:r>
        <w:t xml:space="preserve">49. Outstream Optimization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Most publishers run outstream suboptimally. Viewability is low, refresh policies are wrong.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Audit outstream placements across top publishers; right-size refresh, viewability, and player size; A/B test optimal configurations.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Outstream viewability percent, outstream CPM lift.</w:t>
      </w:r>
    </w:p>
    <w:p>
      <w:pPr>
        <w:pStyle w:val="Heading3"/>
      </w:pPr>
      <w:r>
        <w:t xml:space="preserve">50. Shoppable and Commerce Native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Adjacent to the retail-media DSP push. Shoppable native (product cards, embedded carts, deep-link CTAs) commands premium CPMs and unlocks performance budgets.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Define shoppable native specs (product feed ingestion, deep-link template, attribution pixels); pilot with commerce publishers and retail-media DSPs; measure end-to-end conversion.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Shoppable CPM premium, click-to-cart rate, retail-media spend share.</w:t>
      </w:r>
    </w:p>
    <w:p>
      <w:pPr>
        <w:pStyle w:val="Heading3"/>
      </w:pPr>
      <w:r>
        <w:t xml:space="preserve">51. Generative AI for Native Creative Variants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Auto-generate headline and image variants per placement to lift CTR. Native is uniquely well-suited because variants must respect editorial context.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Integrate a controlled-generation pipeline (brand-safe prompts, advertiser approval workflow); A/B test variants per placement; cap generation per campaign.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CTR lift per variant, advertiser approval rate, time-to-creative.</w:t>
      </w:r>
    </w:p>
    <w:p>
      <w:pPr>
        <w:pStyle w:val="Heading1"/>
      </w:pPr>
      <w:r>
        <w:t xml:space="preserve">G. Operational Levers and Publisher Ops</w:t>
      </w:r>
    </w:p>
    <w:p>
      <w:pPr>
        <w:pStyle w:val="BodyText"/>
      </w:pPr>
      <w:r>
        <w:t xml:space="preserve">The unglamorous, high-leverage work. Tighten the plumbing, lock in supply, and protect margin while the demand-side initiatives mature.</w:t>
      </w:r>
    </w:p>
    <w:p>
      <w:pPr>
        <w:pStyle w:val="Heading3"/>
      </w:pPr>
      <w:r>
        <w:t xml:space="preserve">52. Cookie-Sync Optimization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Drop low-match-rate sync partners; sync only on high-monetizable pages. Reduces page weight and improves match where it counts.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Audit current syncs; rank by match rate and CPM uplift; drop the bottom quartile; trigger syncs based on a page-value score.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Match rate, sync count, page load impact.</w:t>
      </w:r>
    </w:p>
    <w:p>
      <w:pPr>
        <w:pStyle w:val="Heading3"/>
      </w:pPr>
      <w:r>
        <w:t xml:space="preserve">53. Geo-Specific Monetization Gap Analysis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Identify regions where publisher yield trails demand benchmarks.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Benchmark publisher CPM by geo against the network median; route gaps to the floor, DSP, or signal teams; quarterly review.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Geo CPM vs benchmark, gap closure rate.</w:t>
      </w:r>
    </w:p>
    <w:p>
      <w:pPr>
        <w:pStyle w:val="Heading3"/>
      </w:pPr>
      <w:r>
        <w:t xml:space="preserve">54. Publisher Churn Prediction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Predict drop-off before it happens; intervene early.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Train a churn-signal model on impression decline, CPM drop, and complaint spike; segment into high-value, at-risk, and dormant; trigger an account-team playbook.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Churn rate, retention uplift, revenue saved.</w:t>
      </w:r>
    </w:p>
    <w:p>
      <w:pPr>
        <w:pStyle w:val="Heading3"/>
      </w:pPr>
      <w:r>
        <w:t xml:space="preserve">55. Publisher Format Expansion and Upsell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Publishers running only one Nativo format are an upsell opportunity.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Tag publishers by formats live; identify single-format publishers; build a pitch with an incremental revenue estimate; track placement adoption.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Average formats per publisher, incremental revenue per upsell.</w:t>
      </w:r>
    </w:p>
    <w:p>
      <w:pPr>
        <w:pStyle w:val="Heading3"/>
      </w:pPr>
      <w:r>
        <w:t xml:space="preserve">56. Header Bidding Wrapper Audit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Publisher-side Prebid hygiene. Adapter versions, timeouts, price granularity, bid caching.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Quarterly audit of the top 20 publishers' Prebid configs; standardise price buckets; upgrade outdated adapters; align server-to-server vs client-to-server mix.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Per-publisher CPM lift, Prebid win rate, latency p95.</w:t>
      </w:r>
    </w:p>
    <w:p>
      <w:pPr>
        <w:pStyle w:val="Heading3"/>
      </w:pPr>
      <w:r>
        <w:t xml:space="preserve">57. Take Rate and Margin Cube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Net revenue view after take rate, infra, and data costs. Not just gross.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Build a margin cube (publisher by DSP by deal type); rank by net contribution; reallocate optimisation effort to the top-margin combinations.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Gross margin, contribution margin per combination.</w:t>
      </w:r>
    </w:p>
    <w:p>
      <w:pPr>
        <w:pStyle w:val="Heading3"/>
      </w:pPr>
      <w:r>
        <w:t xml:space="preserve">58. Prebid Server / Wrapper-as-a-Service for Mid-Tail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Mid-tail publishers often run weak wrappers, leaking yield and locking Nativo out of the auction. Offering a managed wrapper locks in supply.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Productize a Prebid Server wrapper with sensible defaults, Nativo demand pre-wired, and a self-serve config UI; bundle with onboarding support.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Mid-tail publisher count on managed wrapper, mid-tail CPM lift, Nativo win rate on managed supply.</w:t>
      </w:r>
    </w:p>
    <w:p>
      <w:pPr>
        <w:pStyle w:val="Heading3"/>
      </w:pPr>
      <w:r>
        <w:t xml:space="preserve">59. Yield Management Between Direct-Sold and Programmatic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Most publishers waterfall direct-sold over programmatic, leaving money on the table when programmatic would have cleared higher.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Implement unified decisioning (programmatic competes against direct-sold on a true-value basis); honour direct-sold delivery commitments via pacing constraints.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Yield uplift on contested impressions, direct-sold delivery accuracy, publisher net revenue lift.</w:t>
      </w:r>
    </w:p>
    <w:p>
      <w:pPr>
        <w:pStyle w:val="Heading3"/>
      </w:pPr>
      <w:r>
        <w:t xml:space="preserve">60. Carbon and Sustainability Reporting (Scope3, GreenBids)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Buy-side RFPs increasingly require carbon reporting. Being measurably greener is becoming a procurement gate, not a nice-to-have.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Integrate Scope3 or GreenBids; report grams of CO2 per thousand impressions per path; suppress high-carbon paths or surface as a buyer choice.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gCO2e per kimp, percent of supply with carbon score, sustainability-gated revenue retained.</w:t>
      </w:r>
    </w:p>
    <w:p>
      <w:pPr>
        <w:pStyle w:val="Heading1"/>
      </w:pPr>
      <w:r>
        <w:t xml:space="preserve">H. Measurement and Attribution</w:t>
      </w:r>
    </w:p>
    <w:p>
      <w:pPr>
        <w:pStyle w:val="BodyText"/>
      </w:pPr>
      <w:r>
        <w:t xml:space="preserve">Without measurement maturity, every optimization above is a story, not a result. Measurement infrastructure is a prerequisite for declaring wins and for the buyer-facing transparency that earns preferred-path status.</w:t>
      </w:r>
    </w:p>
    <w:p>
      <w:pPr>
        <w:pStyle w:val="Heading3"/>
      </w:pPr>
      <w:r>
        <w:t xml:space="preserve">61. Lift Testing Infrastructure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Proper holdouts for every optimization, not just before-and-after comparisons.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Build a per-impression random-assignment framework; enforce holdout cells for every major optimization; gate rollout on statistical significance.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Percent of optimizations launched via lift test, false-positive rate.</w:t>
      </w:r>
    </w:p>
    <w:p>
      <w:pPr>
        <w:pStyle w:val="Heading3"/>
      </w:pPr>
      <w:r>
        <w:t xml:space="preserve">62. Buyer-Facing Transparency Reports</w:t>
      </w:r>
    </w:p>
    <w:p>
      <w:pPr>
        <w:pStyle w:val="BodyText"/>
      </w:pPr>
      <w:r>
        <w:rPr>
          <w:b/>
        </w:rPr>
        <w:t xml:space="preserve">What it is: </w:t>
      </w:r>
      <w:r>
        <w:t xml:space="preserve">Quarterly reports to DSPs showing their performance, supply quality, and benchmarks. Builds trust and surfaces fixable issues.</w:t>
      </w:r>
    </w:p>
    <w:p>
      <w:pPr>
        <w:pStyle w:val="BodyText"/>
      </w:pPr>
      <w:r>
        <w:rPr>
          <w:b/>
        </w:rPr>
        <w:t xml:space="preserve">How to do it: </w:t>
      </w:r>
      <w:r>
        <w:t xml:space="preserve">Auto-generate per-DSP reports (CPM, win rate, IVT, latency, supply mix); review with the top 10 DSPs quarterly.</w:t>
      </w:r>
    </w:p>
    <w:p>
      <w:pPr>
        <w:pStyle w:val="BodyText"/>
      </w:pPr>
      <w:r>
        <w:rPr>
          <w:b/>
        </w:rPr>
        <w:t xml:space="preserve">KPIs to watch: </w:t>
      </w:r>
      <w:r>
        <w:t xml:space="preserve">DSP NPS, issue resolution rate, post-report spend growth.</w:t>
      </w:r>
    </w:p>
    <w:p>
      <w:pPr>
        <w:pStyle w:val="Heading1"/>
      </w:pPr>
      <w:r>
        <w:t xml:space="preserve">I. Phased Roadmap</w:t>
      </w:r>
    </w:p>
    <w:p>
      <w:pPr>
        <w:pStyle w:val="BodyText"/>
      </w:pPr>
      <w:r>
        <w:t xml:space="preserve">Suggested phasing balances impact against execution capacity. Final ordering should be set with engineering and product capacity in mind, and with measurement infrastructure (61) built early enough to validate Phase 2 and Phase 3 wins.</w:t>
      </w:r>
    </w:p>
    <w:p>
      <w:pPr>
        <w:pStyle w:val="Heading2"/>
      </w:pPr>
      <w:r>
        <w:t xml:space="preserve">Phase 1 - Foundation Tuning (Q1 to Q2)</w:t>
      </w:r>
    </w:p>
    <w:p>
      <w:pPr>
        <w:pStyle w:val="BodyText"/>
      </w:pPr>
      <w:r>
        <w:t xml:space="preserve">Build directly on the existing dynamic-floor and traffic-shaping foundation. Quick-win optimizations with measurable lift in the first one to two quarters.</w:t>
      </w:r>
    </w:p>
    <w:p>
      <w:pPr>
        <w:pStyle w:val="ListBullet"/>
        <w:numPr>
          <w:ilvl w:val="0"/>
          <w:numId w:val="1"/>
        </w:numPr>
      </w:pPr>
      <w:r>
        <w:t xml:space="preserve">Bid-shading countermeasures (1)</w:t>
      </w:r>
    </w:p>
    <w:p>
      <w:pPr>
        <w:pStyle w:val="ListBullet"/>
        <w:numPr>
          <w:ilvl w:val="0"/>
          <w:numId w:val="1"/>
        </w:numPr>
      </w:pPr>
      <w:r>
        <w:t xml:space="preserve">First-price hygiene audit (5)</w:t>
      </w:r>
    </w:p>
    <w:p>
      <w:pPr>
        <w:pStyle w:val="ListBullet"/>
        <w:numPr>
          <w:ilvl w:val="0"/>
          <w:numId w:val="1"/>
        </w:numPr>
      </w:pPr>
      <w:r>
        <w:t xml:space="preserve">Net-revenue floor optimization (2)</w:t>
      </w:r>
    </w:p>
    <w:p>
      <w:pPr>
        <w:pStyle w:val="ListBullet"/>
        <w:numPr>
          <w:ilvl w:val="0"/>
          <w:numId w:val="1"/>
        </w:numPr>
      </w:pPr>
      <w:r>
        <w:t xml:space="preserve">DSP-specific traffic shaping and win-rate feedback loop (17, 19)</w:t>
      </w:r>
    </w:p>
    <w:p>
      <w:pPr>
        <w:pStyle w:val="ListBullet"/>
        <w:numPr>
          <w:ilvl w:val="0"/>
          <w:numId w:val="1"/>
        </w:numPr>
      </w:pPr>
      <w:r>
        <w:t xml:space="preserve">Bid duplication detection (9)</w:t>
      </w:r>
    </w:p>
    <w:p>
      <w:pPr>
        <w:pStyle w:val="ListBullet"/>
        <w:numPr>
          <w:ilvl w:val="0"/>
          <w:numId w:val="1"/>
        </w:numPr>
      </w:pPr>
      <w:r>
        <w:t xml:space="preserve">Ads.txt and seller.json hygiene (13)</w:t>
      </w:r>
    </w:p>
    <w:p>
      <w:pPr>
        <w:pStyle w:val="ListBullet"/>
        <w:numPr>
          <w:ilvl w:val="0"/>
          <w:numId w:val="1"/>
        </w:numPr>
      </w:pPr>
      <w:r>
        <w:t xml:space="preserve">MFA suppression and real-time IVT monitoring (10, 11)</w:t>
      </w:r>
    </w:p>
    <w:p>
      <w:pPr>
        <w:pStyle w:val="ListBullet"/>
        <w:numPr>
          <w:ilvl w:val="0"/>
          <w:numId w:val="1"/>
        </w:numPr>
      </w:pPr>
      <w:r>
        <w:t xml:space="preserve">Consent string hygiene (40)</w:t>
      </w:r>
    </w:p>
    <w:p>
      <w:pPr>
        <w:pStyle w:val="ListBullet"/>
        <w:numPr>
          <w:ilvl w:val="0"/>
          <w:numId w:val="1"/>
        </w:numPr>
      </w:pPr>
      <w:r>
        <w:t xml:space="preserve">Lift testing infrastructure stood up in parallel (61)</w:t>
      </w:r>
    </w:p>
    <w:p>
      <w:pPr>
        <w:pStyle w:val="Heading2"/>
      </w:pPr>
      <w:r>
        <w:t xml:space="preserve">Phase 2 - Demand and Packaging (Q2 to Q3)</w:t>
      </w:r>
    </w:p>
    <w:p>
      <w:pPr>
        <w:pStyle w:val="BodyText"/>
      </w:pPr>
      <w:r>
        <w:t xml:space="preserve">Convert the cleaner, better-tuned foundation into premium CPM and new revenue lines.</w:t>
      </w:r>
    </w:p>
    <w:p>
      <w:pPr>
        <w:pStyle w:val="ListBullet"/>
        <w:numPr>
          <w:ilvl w:val="0"/>
          <w:numId w:val="1"/>
        </w:numPr>
      </w:pPr>
      <w:r>
        <w:t xml:space="preserve">SPO positioning with top DSPs and asymmetric signal distribution (20, 21)</w:t>
      </w:r>
    </w:p>
    <w:p>
      <w:pPr>
        <w:pStyle w:val="ListBullet"/>
        <w:numPr>
          <w:ilvl w:val="0"/>
          <w:numId w:val="1"/>
        </w:numPr>
      </w:pPr>
      <w:r>
        <w:t xml:space="preserve">PMP packaging on native adjacency (41)</w:t>
      </w:r>
    </w:p>
    <w:p>
      <w:pPr>
        <w:pStyle w:val="ListBullet"/>
        <w:numPr>
          <w:ilvl w:val="0"/>
          <w:numId w:val="1"/>
        </w:numPr>
      </w:pPr>
      <w:r>
        <w:t xml:space="preserve">Curation-as-a-product launch (42)</w:t>
      </w:r>
    </w:p>
    <w:p>
      <w:pPr>
        <w:pStyle w:val="ListBullet"/>
        <w:numPr>
          <w:ilvl w:val="0"/>
          <w:numId w:val="1"/>
        </w:numPr>
      </w:pPr>
      <w:r>
        <w:t xml:space="preserve">Signal productization and first-party audience packaging (32, 36)</w:t>
      </w:r>
    </w:p>
    <w:p>
      <w:pPr>
        <w:pStyle w:val="ListBullet"/>
        <w:numPr>
          <w:ilvl w:val="0"/>
          <w:numId w:val="1"/>
        </w:numPr>
      </w:pPr>
      <w:r>
        <w:t xml:space="preserve">Identity integration (UID2, RampID, ID5) and SDA (33, 37)</w:t>
      </w:r>
    </w:p>
    <w:p>
      <w:pPr>
        <w:pStyle w:val="ListBullet"/>
        <w:numPr>
          <w:ilvl w:val="0"/>
          <w:numId w:val="1"/>
        </w:numPr>
      </w:pPr>
      <w:r>
        <w:t xml:space="preserve">Retail media DSP onboarding (25)</w:t>
      </w:r>
    </w:p>
    <w:p>
      <w:pPr>
        <w:pStyle w:val="ListBullet"/>
        <w:numPr>
          <w:ilvl w:val="0"/>
          <w:numId w:val="1"/>
        </w:numPr>
      </w:pPr>
      <w:r>
        <w:t xml:space="preserve">Programmatic guaranteed automation (46)</w:t>
      </w:r>
    </w:p>
    <w:p>
      <w:pPr>
        <w:pStyle w:val="ListBullet"/>
        <w:numPr>
          <w:ilvl w:val="0"/>
          <w:numId w:val="1"/>
        </w:numPr>
      </w:pPr>
      <w:r>
        <w:t xml:space="preserve">Buyer-facing transparency reports v1 (62)</w:t>
      </w:r>
    </w:p>
    <w:p>
      <w:pPr>
        <w:pStyle w:val="Heading2"/>
      </w:pPr>
      <w:r>
        <w:t xml:space="preserve">Phase 3 - Compound Levers and Expansion (Q3 to Q4)</w:t>
      </w:r>
    </w:p>
    <w:p>
      <w:pPr>
        <w:pStyle w:val="BodyText"/>
      </w:pPr>
      <w:r>
        <w:t xml:space="preserve">Slower-burn, defensibility-building work that compounds over multiple cycles.</w:t>
      </w:r>
    </w:p>
    <w:p>
      <w:pPr>
        <w:pStyle w:val="ListBullet"/>
        <w:numPr>
          <w:ilvl w:val="0"/>
          <w:numId w:val="1"/>
        </w:numPr>
      </w:pPr>
      <w:r>
        <w:t xml:space="preserve">Contextual targeting productization (35)</w:t>
      </w:r>
    </w:p>
    <w:p>
      <w:pPr>
        <w:pStyle w:val="ListBullet"/>
        <w:numPr>
          <w:ilvl w:val="0"/>
          <w:numId w:val="1"/>
        </w:numPr>
      </w:pPr>
      <w:r>
        <w:t xml:space="preserve">Attention measurement integration (38)</w:t>
      </w:r>
    </w:p>
    <w:p>
      <w:pPr>
        <w:pStyle w:val="ListBullet"/>
        <w:numPr>
          <w:ilvl w:val="0"/>
          <w:numId w:val="1"/>
        </w:numPr>
      </w:pPr>
      <w:r>
        <w:t xml:space="preserve">In-stream native video and shoppable native (48, 50)</w:t>
      </w:r>
    </w:p>
    <w:p>
      <w:pPr>
        <w:pStyle w:val="ListBullet"/>
        <w:numPr>
          <w:ilvl w:val="0"/>
          <w:numId w:val="1"/>
        </w:numPr>
      </w:pPr>
      <w:r>
        <w:t xml:space="preserve">Generative AI for native creative variants (51)</w:t>
      </w:r>
    </w:p>
    <w:p>
      <w:pPr>
        <w:pStyle w:val="ListBullet"/>
        <w:numPr>
          <w:ilvl w:val="0"/>
          <w:numId w:val="1"/>
        </w:numPr>
      </w:pPr>
      <w:r>
        <w:t xml:space="preserve">Publisher churn prediction (54)</w:t>
      </w:r>
    </w:p>
    <w:p>
      <w:pPr>
        <w:pStyle w:val="ListBullet"/>
        <w:numPr>
          <w:ilvl w:val="0"/>
          <w:numId w:val="1"/>
        </w:numPr>
      </w:pPr>
      <w:r>
        <w:t xml:space="preserve">Privacy Sandbox readiness (39)</w:t>
      </w:r>
    </w:p>
    <w:p>
      <w:pPr>
        <w:pStyle w:val="ListBullet"/>
        <w:numPr>
          <w:ilvl w:val="0"/>
          <w:numId w:val="1"/>
        </w:numPr>
      </w:pPr>
      <w:r>
        <w:t xml:space="preserve">Cross-device identity graph integration (34)</w:t>
      </w:r>
    </w:p>
    <w:p>
      <w:pPr>
        <w:pStyle w:val="ListBullet"/>
        <w:numPr>
          <w:ilvl w:val="0"/>
          <w:numId w:val="1"/>
        </w:numPr>
      </w:pPr>
      <w:r>
        <w:t xml:space="preserve">Carbon and sustainability reporting (60)</w:t>
      </w:r>
    </w:p>
    <w:p>
      <w:pPr>
        <w:pStyle w:val="ListBullet"/>
        <w:numPr>
          <w:ilvl w:val="0"/>
          <w:numId w:val="1"/>
        </w:numPr>
      </w:pPr>
      <w:r>
        <w:t xml:space="preserve">Yield management between direct-sold and programmatic (59)</w:t>
      </w:r>
    </w:p>
    <w:p>
      <w:pPr>
        <w:pStyle w:val="ListBullet"/>
        <w:numPr>
          <w:ilvl w:val="0"/>
          <w:numId w:val="1"/>
        </w:numPr>
      </w:pPr>
      <w:r>
        <w:t xml:space="preserve">Bid-stream A/B testing for buyers (31)</w:t>
      </w:r>
    </w:p>
    <w:p>
      <w:pPr>
        <w:pStyle w:val="Heading1"/>
      </w:pPr>
      <w:r>
        <w:t xml:space="preserve">J. Risks and Dependencies</w:t>
      </w:r>
    </w:p>
    <w:p>
      <w:pPr>
        <w:pStyle w:val="ListBullet"/>
        <w:numPr>
          <w:ilvl w:val="0"/>
          <w:numId w:val="1"/>
        </w:numPr>
      </w:pPr>
      <w:r>
        <w:t xml:space="preserve">Engineering capacity. Bid-shading countermeasures and per-DSP shaping require ML and data-engineering bandwidth; sequence with product.</w:t>
      </w:r>
    </w:p>
    <w:p>
      <w:pPr>
        <w:pStyle w:val="ListBullet"/>
        <w:numPr>
          <w:ilvl w:val="0"/>
          <w:numId w:val="1"/>
        </w:numPr>
      </w:pPr>
      <w:r>
        <w:t xml:space="preserve">DSP relationships. SPO positioning and asymmetric signals require buy-side conversations; start outreach in parallel with technical work.</w:t>
      </w:r>
    </w:p>
    <w:p>
      <w:pPr>
        <w:pStyle w:val="ListBullet"/>
        <w:numPr>
          <w:ilvl w:val="0"/>
          <w:numId w:val="1"/>
        </w:numPr>
      </w:pPr>
      <w:r>
        <w:t xml:space="preserve">Publisher buy-in. Wrapper audits, format expansion, and unified decisioning require publisher cooperation; lead with revenue-positive case studies.</w:t>
      </w:r>
    </w:p>
    <w:p>
      <w:pPr>
        <w:pStyle w:val="ListBullet"/>
        <w:numPr>
          <w:ilvl w:val="0"/>
          <w:numId w:val="1"/>
        </w:numPr>
      </w:pPr>
      <w:r>
        <w:t xml:space="preserve">Measurement maturity. Proper lift testing is a prerequisite for declaring wins; build the infra before launching large optimizations.</w:t>
      </w:r>
    </w:p>
    <w:p>
      <w:pPr>
        <w:pStyle w:val="ListBullet"/>
        <w:numPr>
          <w:ilvl w:val="0"/>
          <w:numId w:val="1"/>
        </w:numPr>
      </w:pPr>
      <w:r>
        <w:t xml:space="preserve">Privacy and consent. Identity, audience packaging, signal monetization, and consent-string hygiene all depend on a clean consent posture; align with legal and privacy early.</w:t>
      </w:r>
    </w:p>
    <w:p>
      <w:pPr>
        <w:pStyle w:val="ListBullet"/>
        <w:numPr>
          <w:ilvl w:val="0"/>
          <w:numId w:val="1"/>
        </w:numPr>
      </w:pPr>
      <w:r>
        <w:t xml:space="preserve">Buyer trust. Transparency reports and creative-suitability tiering amplify wins from supply quality and IVT work; without them, the underlying improvements are invisible to the buy side.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styleId="Normal" w:default="1">
    <w:name w:val="Normal"/>
    <w:pPr>
      <w:spacing w:after="120"/>
    </w:pPr>
  </w:style>
  <w:style w:type="paragraph" w:styleId="BodyText">
    <w:name w:val="Body Text"/>
    <w:basedOn w:val="Normal"/>
    <w:pPr>
      <w:spacing w:after="120" w:line="276" w:lineRule="auto"/>
    </w:pPr>
  </w:style>
  <w:style w:type="paragraph" w:styleId="Title">
    <w:name w:val="Title"/>
    <w:basedOn w:val="Normal"/>
    <w:pPr>
      <w:spacing w:before="240" w:after="120"/>
    </w:pPr>
    <w:rPr>
      <w:rFonts w:ascii="Calibri" w:hAnsi="Calibri"/>
      <w:b/>
      <w:sz w:val="44"/>
      <w:szCs w:val="44"/>
    </w:rPr>
  </w:style>
  <w:style w:type="paragraph" w:styleId="Subtitle">
    <w:name w:val="Subtitle"/>
    <w:basedOn w:val="Normal"/>
    <w:pPr>
      <w:spacing w:before="0" w:after="360"/>
    </w:pPr>
    <w:rPr>
      <w:sz w:val="24"/>
      <w:szCs w:val="24"/>
    </w:rPr>
  </w:style>
  <w:style w:type="paragraph" w:styleId="Heading1">
    <w:name w:val="heading 1"/>
    <w:basedOn w:val="Normal"/>
    <w:next w:val="BodyText"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BodyText"/>
    <w:pPr>
      <w:keepNext/>
      <w:spacing w:before="240" w:after="12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BodyText"/>
    <w:pPr>
      <w:keepNext/>
      <w:spacing w:before="200" w:after="60"/>
      <w:outlineLvl w:val="2"/>
    </w:pPr>
    <w:rPr>
      <w:b/>
      <w:sz w:val="24"/>
      <w:szCs w:val="24"/>
    </w:rPr>
  </w:style>
  <w:style w:type="paragraph" w:styleId="ListBullet">
    <w:name w:val="List Bullet"/>
    <w:basedOn w:val="Normal"/>
    <w:pPr>
      <w:spacing w:after="60"/>
      <w:ind w:left="36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