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  <w:r>
        <w:rPr>
          <w:b/>
          <w:color w:val="0B5C65"/>
          <w:sz w:val="40"/>
        </w:rPr>
        <w:t>DATABEAT</w:t>
      </w:r>
      <w:r>
        <w:rPr>
          <w:color w:val="5B6B73"/>
          <w:sz w:val="24"/>
        </w:rPr>
        <w:t xml:space="preserve">  |  Prepared for TIME</w:t>
      </w:r>
    </w:p>
    <w:p>
      <w:pPr>
        <w:spacing w:before="1200"/>
      </w:pPr>
      <w:r>
        <w:rPr>
          <w:b/>
          <w:color w:val="0B5C65"/>
          <w:sz w:val="56"/>
        </w:rPr>
        <w:t>Scaling Programmatic Guaranteed &amp; Preferred Deals</w:t>
      </w:r>
    </w:p>
    <w:p>
      <w:r>
        <w:rPr>
          <w:b/>
          <w:color w:val="0F7D88"/>
          <w:sz w:val="36"/>
        </w:rPr>
        <w:t>The Case for a Dedicated PG/PD Sales Resource</w:t>
      </w:r>
    </w:p>
    <w:p>
      <w:pPr>
        <w:spacing w:before="480"/>
      </w:pPr>
      <w:r>
        <w:rPr>
          <w:i/>
          <w:color w:val="1F2A30"/>
          <w:sz w:val="25"/>
        </w:rPr>
        <w:t>An analysis of TIME's U.S. non-direct inventory and the incremental revenue available by converting under-priced programmatic impressions into deal-based demand.</w:t>
      </w:r>
    </w:p>
    <w:p>
      <w:pPr>
        <w:spacing w:before="1000"/>
      </w:pPr>
      <w:r>
        <w:rPr>
          <w:b/>
          <w:color w:val="5B6B73"/>
          <w:sz w:val="22"/>
        </w:rPr>
        <w:t>Scope: U.S. inventory only</w:t>
        <w:br/>
      </w:r>
      <w:r>
        <w:rPr>
          <w:b w:val="0"/>
          <w:color w:val="5B6B73"/>
          <w:sz w:val="22"/>
        </w:rPr>
        <w:t>Data source: Google Ad Manager, Jan 2025 – Jun 2026</w:t>
        <w:br/>
      </w:r>
      <w:r>
        <w:rPr>
          <w:b w:val="0"/>
          <w:color w:val="5B6B73"/>
          <w:sz w:val="22"/>
        </w:rPr>
        <w:t>Note: June 2026 revenue/eCPM excluded (see Methodology)</w:t>
        <w:br/>
      </w:r>
    </w:p>
    <w:p>
      <w:r>
        <w:br w:type="page"/>
      </w:r>
    </w:p>
    <w:p>
      <w:pPr>
        <w:spacing w:before="280" w:after="80"/>
      </w:pPr>
      <w:r>
        <w:rPr>
          <w:b/>
          <w:color w:val="0B5C65"/>
          <w:sz w:val="32"/>
        </w:rPr>
        <w:t>Executive Summary</w:t>
      </w:r>
    </w:p>
    <w:p>
      <w:pPr>
        <w:spacing w:after="120"/>
      </w:pPr>
      <w:r>
        <w:rPr>
          <w:b w:val="0"/>
          <w:i w:val="0"/>
          <w:color w:val="1F2A30"/>
          <w:sz w:val="22"/>
        </w:rPr>
        <w:t>TIME's U.S. programmatic inventory is systematically under-monetized. Non-direct channels (programmatic + house) account for roughly two-thirds of all ad impressions yet contribute only about 15% of ad revenue, because that inventory clears at open-auction rates near $2–$3 versus $20+ on directly-sold deals. This is not a traffic problem — the impressions already exist. It is a monetization and go-to-market gap.</w:t>
      </w:r>
    </w:p>
    <w:p>
      <w:pPr>
        <w:spacing w:after="120"/>
      </w:pPr>
      <w:r>
        <w:rPr>
          <w:b w:val="0"/>
          <w:i w:val="0"/>
          <w:color w:val="1F2A30"/>
          <w:sz w:val="22"/>
        </w:rPr>
        <w:t>The mechanism to close the gap already exists inside the account and is proven: Preferred Deals clear at roughly $6 eCPM — more than double the general programmatic rate — but represent under 0.01% of impressions today. The opportunity is to package premium, high-impact ad units and take them to advertisers as Programmatic Guaranteed (PG) and Preferred Deals (PD) at negotiated rates of $8–$10.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F7D88"/>
          <w:left w:val="single" w:sz="12" w:space="0" w:color="0F7D88"/>
          <w:bottom w:val="single" w:sz="12" w:space="0" w:color="0F7D88"/>
          <w:right w:val="single" w:sz="12" w:space="0" w:color="0F7D88"/>
          <w:insideH w:val="single" w:sz="12" w:space="0" w:color="0F7D88"/>
          <w:insideV w:val="single" w:sz="12" w:space="0" w:color="0F7D88"/>
        </w:tblBorders>
      </w:tblPr>
      <w:tblGrid>
        <w:gridCol w:w="8640"/>
      </w:tblGrid>
      <w:tr>
        <w:tc>
          <w:tcPr>
            <w:tcW w:type="dxa" w:w="8640"/>
            <w:shd w:val="clear" w:fill="E8F4F5"/>
          </w:tcPr>
          <w:p>
            <w:pPr>
              <w:spacing w:before="120" w:after="120"/>
            </w:pPr>
            <w:r/>
            <w:r>
              <w:rPr>
                <w:b/>
                <w:color w:val="0B5C65"/>
                <w:sz w:val="23"/>
              </w:rPr>
              <w:t xml:space="preserve">The ask:  </w:t>
            </w:r>
            <w:r>
              <w:rPr>
                <w:color w:val="1F2A30"/>
                <w:sz w:val="22"/>
              </w:rPr>
              <w:t>Fund one dedicated PG/PD resource to proactively reach out to advertisers, build the deal pipeline, and run execution. On the top-6 ad units alone, a conservative 10% shift to PG/PD at $8 eCPM returns roughly $159K per year; a 20% shift at $10 returns roughly $430K — many times the fully-loaded cost of a single resource.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2D4"/>
          <w:left w:val="single" w:sz="6" w:space="0" w:color="C9D2D4"/>
          <w:bottom w:val="single" w:sz="6" w:space="0" w:color="C9D2D4"/>
          <w:right w:val="single" w:sz="6" w:space="0" w:color="C9D2D4"/>
          <w:insideH w:val="single" w:sz="6" w:space="0" w:color="C9D2D4"/>
          <w:insideV w:val="single" w:sz="6" w:space="0" w:color="C9D2D4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  <w:shd w:val="clear" w:fill="0B5C65"/>
          </w:tcPr>
          <w:p>
            <w:pPr>
              <w:spacing w:after="40" w:before="40"/>
              <w:jc w:val="left"/>
            </w:pPr>
            <w:r/>
            <w:r>
              <w:rPr>
                <w:b/>
                <w:color w:val="FFFFFF"/>
                <w:sz w:val="19"/>
              </w:rPr>
              <w:t>Metric (U.S.)</w:t>
            </w:r>
          </w:p>
        </w:tc>
        <w:tc>
          <w:tcPr>
            <w:tcW w:type="dxa" w:w="1872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9"/>
              </w:rPr>
              <w:t>Direct</w:t>
            </w:r>
          </w:p>
        </w:tc>
        <w:tc>
          <w:tcPr>
            <w:tcW w:type="dxa" w:w="2160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9"/>
              </w:rPr>
              <w:t>Programmatic</w:t>
            </w:r>
          </w:p>
        </w:tc>
        <w:tc>
          <w:tcPr>
            <w:tcW w:type="dxa" w:w="1728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9"/>
              </w:rPr>
              <w:t>House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Share of impressions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36%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56%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9%</w:t>
            </w:r>
          </w:p>
        </w:tc>
      </w:tr>
      <w:tr>
        <w:tc>
          <w:tcPr>
            <w:tcW w:type="dxa" w:w="3744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Share of revenue</w:t>
            </w:r>
          </w:p>
        </w:tc>
        <w:tc>
          <w:tcPr>
            <w:tcW w:type="dxa" w:w="1872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~84%</w:t>
            </w:r>
          </w:p>
        </w:tc>
        <w:tc>
          <w:tcPr>
            <w:tcW w:type="dxa" w:w="216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~15%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~0.3%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eCPM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$20.19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$2.33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$0.30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B6B73"/>
          <w:sz w:val="18"/>
        </w:rPr>
        <w:t>Figures reflect FY2025 (a complete, clean year); impression mix is consistent across the full period. See Methodology for the June 2026 exclusion.</w:t>
      </w:r>
    </w:p>
    <w:p>
      <w:pPr>
        <w:spacing w:before="280" w:after="80"/>
      </w:pPr>
      <w:r>
        <w:rPr>
          <w:b/>
          <w:color w:val="0B5C65"/>
          <w:sz w:val="32"/>
        </w:rPr>
        <w:t>Data Scope &amp; Methodology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Scope — </w:t>
      </w:r>
      <w:r>
        <w:rPr>
          <w:color w:val="1F2A30"/>
          <w:sz w:val="22"/>
        </w:rPr>
        <w:t>all figures are for TIME's U.S. inventory only, exported from Google Ad Manager for the period January 2025 – June 2026.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Channel definitions — </w:t>
      </w:r>
      <w:r>
        <w:rPr>
          <w:color w:val="1F2A30"/>
          <w:sz w:val="22"/>
        </w:rPr>
        <w:t>Direct = Standard + Sponsorship line items. Programmatic = Ad Exchange + Price Priority (Media.net, Amazon/A9, etc.) + Preferred Deal + EBDA/Open Bidding. House = house line items.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June 2026 exclusion — </w:t>
      </w:r>
      <w:r>
        <w:rPr>
          <w:color w:val="1F2A30"/>
          <w:sz w:val="22"/>
        </w:rPr>
        <w:t>June 2026 has been excluded from all revenue and eCPM figures. A fixed-cost (CPD) deal was mistakenly entered as a CPM value, which materially inflated reported June revenue and eCPM. Impression counts are unaffected by this error. To stay conservative, revenue and eCPM exhibits are anchored on FY2025 — a complete, clean year — and on programmatic figures, which are independent of the June direct-side error.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Confidentiality — </w:t>
      </w:r>
      <w:r>
        <w:rPr>
          <w:color w:val="1F2A30"/>
          <w:sz w:val="22"/>
        </w:rPr>
        <w:t>no individual advertiser names are disclosed in this document; demand is summarized at the channel and platform level.</w:t>
      </w:r>
    </w:p>
    <w:p>
      <w:pPr>
        <w:spacing w:before="280" w:after="80"/>
      </w:pPr>
      <w:r>
        <w:rPr>
          <w:b/>
          <w:color w:val="0B5C65"/>
          <w:sz w:val="32"/>
        </w:rPr>
        <w:t>1.  Overall Performance: Direct vs Programmatic vs House</w:t>
      </w:r>
    </w:p>
    <w:p>
      <w:pPr>
        <w:spacing w:after="120"/>
      </w:pPr>
      <w:r>
        <w:rPr>
          <w:b w:val="0"/>
          <w:i w:val="0"/>
          <w:color w:val="1F2A30"/>
          <w:sz w:val="22"/>
        </w:rPr>
        <w:t>The headline of the entire analysis is a single mismatch: the way TIME earns money and the way TIME serves impressions are almost mirror images of each other.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66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donu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6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B73"/>
          <w:sz w:val="18"/>
        </w:rPr>
        <w:t>Figure 1 — U.S. impression share vs. revenue share (FY2025). Direct = gold, Programmatic = green, House = red.</w:t>
      </w:r>
    </w:p>
    <w:p>
      <w:pPr>
        <w:spacing w:after="120"/>
      </w:pPr>
      <w:r>
        <w:rPr>
          <w:b w:val="0"/>
          <w:i w:val="0"/>
          <w:color w:val="1F2A30"/>
          <w:sz w:val="22"/>
        </w:rPr>
        <w:t>Direct sales — where the team has genuinely improved and consistently commands $20+ eCPMs — converts about a third of impressions into ~84% of revenue. Programmatic does the opposite: it carries the majority of impressions but returns a fraction of the revenue, because it is largely sold through the open auction at remnant pricing. House inventory (~9% of impressions) is effectively unmonetized.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2D4"/>
          <w:left w:val="single" w:sz="6" w:space="0" w:color="C9D2D4"/>
          <w:bottom w:val="single" w:sz="6" w:space="0" w:color="C9D2D4"/>
          <w:right w:val="single" w:sz="6" w:space="0" w:color="C9D2D4"/>
          <w:insideH w:val="single" w:sz="6" w:space="0" w:color="C9D2D4"/>
          <w:insideV w:val="single" w:sz="6" w:space="0" w:color="C9D2D4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  <w:shd w:val="clear" w:fill="0B5C65"/>
          </w:tcPr>
          <w:p>
            <w:pPr>
              <w:spacing w:after="40" w:before="40"/>
              <w:jc w:val="left"/>
            </w:pPr>
            <w:r/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2160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9"/>
              </w:rPr>
              <w:t>Revenue (FY25)</w:t>
            </w:r>
          </w:p>
        </w:tc>
        <w:tc>
          <w:tcPr>
            <w:tcW w:type="dxa" w:w="1440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9"/>
              </w:rPr>
              <w:t>Rev share</w:t>
            </w:r>
          </w:p>
        </w:tc>
        <w:tc>
          <w:tcPr>
            <w:tcW w:type="dxa" w:w="2448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9"/>
              </w:rPr>
              <w:t>Impressions (FY25)</w:t>
            </w:r>
          </w:p>
        </w:tc>
        <w:tc>
          <w:tcPr>
            <w:tcW w:type="dxa" w:w="1440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9"/>
              </w:rPr>
              <w:t>Imp share</w:t>
            </w:r>
          </w:p>
        </w:tc>
        <w:tc>
          <w:tcPr>
            <w:tcW w:type="dxa" w:w="1296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9"/>
              </w:rPr>
              <w:t>eCPM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Direct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$5,352,299</w:t>
            </w:r>
          </w:p>
        </w:tc>
        <w:tc>
          <w:tcPr>
            <w:tcW w:type="dxa" w:w="144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84.5%</w:t>
            </w:r>
          </w:p>
        </w:tc>
        <w:tc>
          <w:tcPr>
            <w:tcW w:type="dxa" w:w="244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265.1M</w:t>
            </w:r>
          </w:p>
        </w:tc>
        <w:tc>
          <w:tcPr>
            <w:tcW w:type="dxa" w:w="144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35.7%</w:t>
            </w:r>
          </w:p>
        </w:tc>
        <w:tc>
          <w:tcPr>
            <w:tcW w:type="dxa" w:w="129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$20.19</w:t>
            </w:r>
          </w:p>
        </w:tc>
      </w:tr>
      <w:tr>
        <w:tc>
          <w:tcPr>
            <w:tcW w:type="dxa" w:w="2160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Programmatic</w:t>
            </w:r>
          </w:p>
        </w:tc>
        <w:tc>
          <w:tcPr>
            <w:tcW w:type="dxa" w:w="216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$959,994</w:t>
            </w:r>
          </w:p>
        </w:tc>
        <w:tc>
          <w:tcPr>
            <w:tcW w:type="dxa" w:w="144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15.2%</w:t>
            </w:r>
          </w:p>
        </w:tc>
        <w:tc>
          <w:tcPr>
            <w:tcW w:type="dxa" w:w="244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412.5M</w:t>
            </w:r>
          </w:p>
        </w:tc>
        <w:tc>
          <w:tcPr>
            <w:tcW w:type="dxa" w:w="144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55.5%</w:t>
            </w:r>
          </w:p>
        </w:tc>
        <w:tc>
          <w:tcPr>
            <w:tcW w:type="dxa" w:w="1296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$2.33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House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$19,902</w:t>
            </w:r>
          </w:p>
        </w:tc>
        <w:tc>
          <w:tcPr>
            <w:tcW w:type="dxa" w:w="144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0.3%</w:t>
            </w:r>
          </w:p>
        </w:tc>
        <w:tc>
          <w:tcPr>
            <w:tcW w:type="dxa" w:w="244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65.5M</w:t>
            </w:r>
          </w:p>
        </w:tc>
        <w:tc>
          <w:tcPr>
            <w:tcW w:type="dxa" w:w="144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8.8%</w:t>
            </w:r>
          </w:p>
        </w:tc>
        <w:tc>
          <w:tcPr>
            <w:tcW w:type="dxa" w:w="129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$0.30</w:t>
            </w:r>
          </w:p>
        </w:tc>
      </w:tr>
      <w:tr>
        <w:tc>
          <w:tcPr>
            <w:tcW w:type="dxa" w:w="2160"/>
            <w:shd w:val="clear" w:fill="E8F4F5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Total</w:t>
            </w:r>
          </w:p>
        </w:tc>
        <w:tc>
          <w:tcPr>
            <w:tcW w:type="dxa" w:w="2160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$6,332,195</w:t>
            </w:r>
          </w:p>
        </w:tc>
        <w:tc>
          <w:tcPr>
            <w:tcW w:type="dxa" w:w="1440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100%</w:t>
            </w:r>
          </w:p>
        </w:tc>
        <w:tc>
          <w:tcPr>
            <w:tcW w:type="dxa" w:w="2448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743.1M</w:t>
            </w:r>
          </w:p>
        </w:tc>
        <w:tc>
          <w:tcPr>
            <w:tcW w:type="dxa" w:w="1440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100%</w:t>
            </w:r>
          </w:p>
        </w:tc>
        <w:tc>
          <w:tcPr>
            <w:tcW w:type="dxa" w:w="1296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$8.52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F7D88"/>
          <w:left w:val="single" w:sz="12" w:space="0" w:color="0F7D88"/>
          <w:bottom w:val="single" w:sz="12" w:space="0" w:color="0F7D88"/>
          <w:right w:val="single" w:sz="12" w:space="0" w:color="0F7D88"/>
          <w:insideH w:val="single" w:sz="12" w:space="0" w:color="0F7D88"/>
          <w:insideV w:val="single" w:sz="12" w:space="0" w:color="0F7D88"/>
        </w:tblBorders>
      </w:tblPr>
      <w:tblGrid>
        <w:gridCol w:w="8640"/>
      </w:tblGrid>
      <w:tr>
        <w:tc>
          <w:tcPr>
            <w:tcW w:type="dxa" w:w="8640"/>
            <w:shd w:val="clear" w:fill="E8F4F5"/>
          </w:tcPr>
          <w:p>
            <w:pPr>
              <w:spacing w:before="120" w:after="120"/>
            </w:pPr>
            <w:r/>
            <w:r>
              <w:rPr>
                <w:b/>
                <w:color w:val="0B5C65"/>
                <w:sz w:val="23"/>
              </w:rPr>
              <w:t xml:space="preserve">Why this matters:  </w:t>
            </w:r>
            <w:r>
              <w:rPr>
                <w:color w:val="1F2A30"/>
                <w:sz w:val="22"/>
              </w:rPr>
              <w:t>programmatic + house together are ~64% of U.S. impressions but ~15% of revenue. Even a small improvement in how that inventory is sold produces a large revenue effect, because the starting eCPM is so low.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0B5C65"/>
          <w:sz w:val="32"/>
        </w:rPr>
        <w:t>2.  Where the Programmatic Revenue Comes From</w:t>
      </w:r>
    </w:p>
    <w:p>
      <w:pPr>
        <w:spacing w:after="120"/>
      </w:pPr>
      <w:r>
        <w:rPr>
          <w:b w:val="0"/>
          <w:i w:val="0"/>
          <w:color w:val="1F2A30"/>
          <w:sz w:val="22"/>
        </w:rPr>
        <w:t>Within programmatic, revenue is concentrated in a handful of demand platforms — all transacting through the open auction or network backfill, none through negotiated deals. This is the demand we can re-capture at higher rates through PG/PD relationships.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23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ss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23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B73"/>
          <w:sz w:val="18"/>
        </w:rPr>
        <w:t>Figure 2 — Top programmatic partners by revenue (U.S., full period). Darker bars = largest partners.</w:t>
      </w:r>
    </w:p>
    <w:p>
      <w:pPr>
        <w:spacing w:after="120"/>
      </w:pPr>
      <w:r>
        <w:rPr>
          <w:b w:val="0"/>
          <w:i w:val="0"/>
          <w:color w:val="1F2A30"/>
          <w:sz w:val="22"/>
        </w:rPr>
        <w:t>The same advertisers and platforms buying TIME's inventory today through the open auction at ~$2–$3 are exactly the demand a dedicated resource would convert into direct PG/PD deals at negotiated, premium rates — capturing margin TIME currently leaves on the table.</w:t>
      </w:r>
    </w:p>
    <w:p>
      <w:pPr>
        <w:spacing w:before="280" w:after="80"/>
      </w:pPr>
      <w:r>
        <w:rPr>
          <w:b/>
          <w:color w:val="0B5C65"/>
          <w:sz w:val="32"/>
        </w:rPr>
        <w:t>3.  The Ad-Unit Opportunity (Top 6 High-Impact Units)</w:t>
      </w:r>
    </w:p>
    <w:p>
      <w:pPr>
        <w:spacing w:after="120"/>
      </w:pPr>
      <w:r>
        <w:rPr>
          <w:b w:val="0"/>
          <w:i w:val="0"/>
          <w:color w:val="1F2A30"/>
          <w:sz w:val="22"/>
        </w:rPr>
        <w:t>Focusing on the six highest-volume, high-impact ad units, the pricing gap is stark and consistent: on the very same placement, directly-sold impressions earn roughly 6–13× what programmatic earns.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0084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aduni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08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B73"/>
          <w:sz w:val="18"/>
        </w:rPr>
        <w:t>Figure 3 — Direct vs. Programmatic eCPM on the same ad unit (FY2025, U.S.).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2D4"/>
          <w:left w:val="single" w:sz="6" w:space="0" w:color="C9D2D4"/>
          <w:bottom w:val="single" w:sz="6" w:space="0" w:color="C9D2D4"/>
          <w:right w:val="single" w:sz="6" w:space="0" w:color="C9D2D4"/>
          <w:insideH w:val="single" w:sz="6" w:space="0" w:color="C9D2D4"/>
          <w:insideV w:val="single" w:sz="6" w:space="0" w:color="C9D2D4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shd w:val="clear" w:fill="0B5C65"/>
          </w:tcPr>
          <w:p>
            <w:pPr>
              <w:spacing w:after="40" w:before="40"/>
              <w:jc w:val="left"/>
            </w:pPr>
            <w:r/>
            <w:r>
              <w:rPr>
                <w:b/>
                <w:color w:val="FFFFFF"/>
                <w:sz w:val="19"/>
              </w:rPr>
              <w:t>Ad unit</w:t>
            </w:r>
          </w:p>
        </w:tc>
        <w:tc>
          <w:tcPr>
            <w:tcW w:type="dxa" w:w="1872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9"/>
              </w:rPr>
              <w:t>Direct eCPM</w:t>
            </w:r>
          </w:p>
        </w:tc>
        <w:tc>
          <w:tcPr>
            <w:tcW w:type="dxa" w:w="1728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9"/>
              </w:rPr>
              <w:t>Prog. eCPM</w:t>
            </w:r>
          </w:p>
        </w:tc>
        <w:tc>
          <w:tcPr>
            <w:tcW w:type="dxa" w:w="2448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9"/>
              </w:rPr>
              <w:t>Prog. impressions</w:t>
            </w:r>
          </w:p>
        </w:tc>
        <w:tc>
          <w:tcPr>
            <w:tcW w:type="dxa" w:w="1296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9"/>
              </w:rPr>
              <w:t>Gap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stickyfooter1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$22.92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$1.79</w:t>
            </w:r>
          </w:p>
        </w:tc>
        <w:tc>
          <w:tcPr>
            <w:tcW w:type="dxa" w:w="244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118.9M</w:t>
            </w:r>
          </w:p>
        </w:tc>
        <w:tc>
          <w:tcPr>
            <w:tcW w:type="dxa" w:w="129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12.8×</w:t>
            </w:r>
          </w:p>
        </w:tc>
      </w:tr>
      <w:tr>
        <w:tc>
          <w:tcPr>
            <w:tcW w:type="dxa" w:w="2160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leaderboard1</w:t>
            </w:r>
          </w:p>
        </w:tc>
        <w:tc>
          <w:tcPr>
            <w:tcW w:type="dxa" w:w="1872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$18.66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$1.78</w:t>
            </w:r>
          </w:p>
        </w:tc>
        <w:tc>
          <w:tcPr>
            <w:tcW w:type="dxa" w:w="244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45.7M</w:t>
            </w:r>
          </w:p>
        </w:tc>
        <w:tc>
          <w:tcPr>
            <w:tcW w:type="dxa" w:w="1296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10.5×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inline1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$18.91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$3.25</w:t>
            </w:r>
          </w:p>
        </w:tc>
        <w:tc>
          <w:tcPr>
            <w:tcW w:type="dxa" w:w="244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37.1M</w:t>
            </w:r>
          </w:p>
        </w:tc>
        <w:tc>
          <w:tcPr>
            <w:tcW w:type="dxa" w:w="129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5.8×</w:t>
            </w:r>
          </w:p>
        </w:tc>
      </w:tr>
      <w:tr>
        <w:tc>
          <w:tcPr>
            <w:tcW w:type="dxa" w:w="2160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inline2</w:t>
            </w:r>
          </w:p>
        </w:tc>
        <w:tc>
          <w:tcPr>
            <w:tcW w:type="dxa" w:w="1872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$20.76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$2.82</w:t>
            </w:r>
          </w:p>
        </w:tc>
        <w:tc>
          <w:tcPr>
            <w:tcW w:type="dxa" w:w="244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31.8M</w:t>
            </w:r>
          </w:p>
        </w:tc>
        <w:tc>
          <w:tcPr>
            <w:tcW w:type="dxa" w:w="1296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7.4×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rightrail1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$19.56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$2.88</w:t>
            </w:r>
          </w:p>
        </w:tc>
        <w:tc>
          <w:tcPr>
            <w:tcW w:type="dxa" w:w="244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18.9M</w:t>
            </w:r>
          </w:p>
        </w:tc>
        <w:tc>
          <w:tcPr>
            <w:tcW w:type="dxa" w:w="129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6.8×</w:t>
            </w:r>
          </w:p>
        </w:tc>
      </w:tr>
      <w:tr>
        <w:tc>
          <w:tcPr>
            <w:tcW w:type="dxa" w:w="2160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inline3</w:t>
            </w:r>
          </w:p>
        </w:tc>
        <w:tc>
          <w:tcPr>
            <w:tcW w:type="dxa" w:w="1872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$20.05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$2.74</w:t>
            </w:r>
          </w:p>
        </w:tc>
        <w:tc>
          <w:tcPr>
            <w:tcW w:type="dxa" w:w="244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25.4M</w:t>
            </w:r>
          </w:p>
        </w:tc>
        <w:tc>
          <w:tcPr>
            <w:tcW w:type="dxa" w:w="1296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7.3×</w:t>
            </w:r>
          </w:p>
        </w:tc>
      </w:tr>
      <w:tr>
        <w:tc>
          <w:tcPr>
            <w:tcW w:type="dxa" w:w="2160"/>
            <w:shd w:val="clear" w:fill="E8F4F5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Top-6 total</w:t>
            </w:r>
          </w:p>
        </w:tc>
        <w:tc>
          <w:tcPr>
            <w:tcW w:type="dxa" w:w="1872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$20.42</w:t>
            </w:r>
          </w:p>
        </w:tc>
        <w:tc>
          <w:tcPr>
            <w:tcW w:type="dxa" w:w="1728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$2.26</w:t>
            </w:r>
          </w:p>
        </w:tc>
        <w:tc>
          <w:tcPr>
            <w:tcW w:type="dxa" w:w="2448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277.8M</w:t>
            </w:r>
          </w:p>
        </w:tc>
        <w:tc>
          <w:tcPr>
            <w:tcW w:type="dxa" w:w="1296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9.0×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1F2A30"/>
          <w:sz w:val="22"/>
        </w:rPr>
        <w:t>These six units carry roughly 278 million programmatic impressions a year that clear at ~$2.26. That is the pool a PG/PD motion targets — not by displacing direct sales, but by pricing the non-direct inventory far closer to its true value.</w:t>
      </w:r>
    </w:p>
    <w:p>
      <w:pPr>
        <w:spacing w:before="280" w:after="80"/>
      </w:pPr>
      <w:r>
        <w:rPr>
          <w:b/>
          <w:color w:val="0B5C65"/>
          <w:sz w:val="32"/>
        </w:rPr>
        <w:t>4.  The Proof PG/PD Works Is Already in the Data</w:t>
      </w:r>
    </w:p>
    <w:p>
      <w:pPr>
        <w:spacing w:after="120"/>
      </w:pPr>
      <w:r>
        <w:rPr>
          <w:b w:val="0"/>
          <w:i w:val="0"/>
          <w:color w:val="1F2A30"/>
          <w:sz w:val="22"/>
        </w:rPr>
        <w:t>This is not a theoretical uplift. TIME's own account already shows that deal-based demand pays more: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2D4"/>
          <w:left w:val="single" w:sz="6" w:space="0" w:color="C9D2D4"/>
          <w:bottom w:val="single" w:sz="6" w:space="0" w:color="C9D2D4"/>
          <w:right w:val="single" w:sz="6" w:space="0" w:color="C9D2D4"/>
          <w:insideH w:val="single" w:sz="6" w:space="0" w:color="C9D2D4"/>
          <w:insideV w:val="single" w:sz="6" w:space="0" w:color="C9D2D4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736"/>
            <w:shd w:val="clear" w:fill="0B5C65"/>
          </w:tcPr>
          <w:p>
            <w:pPr>
              <w:spacing w:after="40" w:before="40"/>
              <w:jc w:val="left"/>
            </w:pPr>
            <w:r/>
            <w:r>
              <w:rPr>
                <w:b/>
                <w:color w:val="FFFFFF"/>
                <w:sz w:val="19"/>
              </w:rPr>
              <w:t>Deal type</w:t>
            </w:r>
          </w:p>
        </w:tc>
        <w:tc>
          <w:tcPr>
            <w:tcW w:type="dxa" w:w="1584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9"/>
              </w:rPr>
              <w:t>eCPM 2025</w:t>
            </w:r>
          </w:p>
        </w:tc>
        <w:tc>
          <w:tcPr>
            <w:tcW w:type="dxa" w:w="1584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9"/>
              </w:rPr>
              <w:t>eCPM 2026</w:t>
            </w:r>
          </w:p>
        </w:tc>
        <w:tc>
          <w:tcPr>
            <w:tcW w:type="dxa" w:w="2304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9"/>
              </w:rPr>
              <w:t>Impressions (period)</w:t>
            </w:r>
          </w:p>
        </w:tc>
        <w:tc>
          <w:tcPr>
            <w:tcW w:type="dxa" w:w="2736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9"/>
              </w:rPr>
              <w:t>Read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General programmatic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$2.33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$2.78</w:t>
            </w:r>
          </w:p>
        </w:tc>
        <w:tc>
          <w:tcPr>
            <w:tcW w:type="dxa" w:w="230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619.4M</w:t>
            </w:r>
          </w:p>
        </w:tc>
        <w:tc>
          <w:tcPr>
            <w:tcW w:type="dxa" w:w="273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Baseline (open auction)</w:t>
            </w:r>
          </w:p>
        </w:tc>
      </w:tr>
      <w:tr>
        <w:tc>
          <w:tcPr>
            <w:tcW w:type="dxa" w:w="2736"/>
            <w:shd w:val="clear" w:fill="E8F4F5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Preferred Deal (PD)</w:t>
            </w:r>
          </w:p>
        </w:tc>
        <w:tc>
          <w:tcPr>
            <w:tcW w:type="dxa" w:w="1584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$4.50</w:t>
            </w:r>
          </w:p>
        </w:tc>
        <w:tc>
          <w:tcPr>
            <w:tcW w:type="dxa" w:w="1584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$6.01</w:t>
            </w:r>
          </w:p>
        </w:tc>
        <w:tc>
          <w:tcPr>
            <w:tcW w:type="dxa" w:w="2304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98,736</w:t>
            </w:r>
          </w:p>
        </w:tc>
        <w:tc>
          <w:tcPr>
            <w:tcW w:type="dxa" w:w="2736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~2.2× baseline, tiny volume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F7D88"/>
          <w:left w:val="single" w:sz="12" w:space="0" w:color="0F7D88"/>
          <w:bottom w:val="single" w:sz="12" w:space="0" w:color="0F7D88"/>
          <w:right w:val="single" w:sz="12" w:space="0" w:color="0F7D88"/>
          <w:insideH w:val="single" w:sz="12" w:space="0" w:color="0F7D88"/>
          <w:insideV w:val="single" w:sz="12" w:space="0" w:color="0F7D88"/>
        </w:tblBorders>
      </w:tblPr>
      <w:tblGrid>
        <w:gridCol w:w="8640"/>
      </w:tblGrid>
      <w:tr>
        <w:tc>
          <w:tcPr>
            <w:tcW w:type="dxa" w:w="8640"/>
            <w:shd w:val="clear" w:fill="E8F4F5"/>
          </w:tcPr>
          <w:p>
            <w:pPr>
              <w:spacing w:before="120" w:after="120"/>
            </w:pPr>
            <w:r/>
            <w:r>
              <w:rPr>
                <w:b/>
                <w:color w:val="0B5C65"/>
                <w:sz w:val="23"/>
              </w:rPr>
              <w:t xml:space="preserve">The signal:  </w:t>
            </w:r>
            <w:r>
              <w:rPr>
                <w:color w:val="1F2A30"/>
                <w:sz w:val="22"/>
              </w:rPr>
              <w:t>Preferred Deals already clear at more than 2× the open-auction rate — yet they represent under 0.01% of impressions. The pricing power is proven; the volume is simply untapped. A $8–$10 target is a realistic step up from a $6 rate that is already being achieved today at negligible scale.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0B5C65"/>
          <w:sz w:val="32"/>
        </w:rPr>
        <w:t>5.  The Opportunity: Scaling Top-6 Inventory to $8–$10 eCPM</w:t>
      </w:r>
    </w:p>
    <w:p>
      <w:pPr>
        <w:spacing w:after="120"/>
      </w:pPr>
      <w:r>
        <w:rPr>
          <w:b w:val="0"/>
          <w:i w:val="0"/>
          <w:color w:val="1F2A30"/>
          <w:sz w:val="22"/>
        </w:rPr>
        <w:t>Applying conservative, achievable target eCPMs of $8 and $10 to a portion of the top-6 programmatic pool (278M impressions/year at a current $2.26) yields the following incremental annual revenue: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882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opportun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88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B73"/>
          <w:sz w:val="18"/>
        </w:rPr>
        <w:t>Figure 4 — Incremental annual revenue by shift level and target eCPM (top-6 ad units only).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2D4"/>
          <w:left w:val="single" w:sz="6" w:space="0" w:color="C9D2D4"/>
          <w:bottom w:val="single" w:sz="6" w:space="0" w:color="C9D2D4"/>
          <w:right w:val="single" w:sz="6" w:space="0" w:color="C9D2D4"/>
          <w:insideH w:val="single" w:sz="6" w:space="0" w:color="C9D2D4"/>
          <w:insideV w:val="single" w:sz="6" w:space="0" w:color="C9D2D4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B5C65"/>
          </w:tcPr>
          <w:p>
            <w:pPr>
              <w:spacing w:after="40" w:before="40"/>
              <w:jc w:val="left"/>
            </w:pPr>
            <w:r/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2880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9"/>
              </w:rPr>
              <w:t>Impressions shifted</w:t>
            </w:r>
          </w:p>
        </w:tc>
        <w:tc>
          <w:tcPr>
            <w:tcW w:type="dxa" w:w="2016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9"/>
              </w:rPr>
              <w:t>Target eCPM</w:t>
            </w:r>
          </w:p>
        </w:tc>
        <w:tc>
          <w:tcPr>
            <w:tcW w:type="dxa" w:w="2592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9"/>
              </w:rPr>
              <w:t>Incremental / year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Conservative</w:t>
            </w:r>
          </w:p>
        </w:tc>
        <w:tc>
          <w:tcPr>
            <w:tcW w:type="dxa" w:w="288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10% (27.8M)</w:t>
            </w:r>
          </w:p>
        </w:tc>
        <w:tc>
          <w:tcPr>
            <w:tcW w:type="dxa" w:w="20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$8</w:t>
            </w:r>
          </w:p>
        </w:tc>
        <w:tc>
          <w:tcPr>
            <w:tcW w:type="dxa" w:w="2592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+$159K</w:t>
            </w:r>
          </w:p>
        </w:tc>
      </w:tr>
      <w:tr>
        <w:tc>
          <w:tcPr>
            <w:tcW w:type="dxa" w:w="2160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Conservative</w:t>
            </w:r>
          </w:p>
        </w:tc>
        <w:tc>
          <w:tcPr>
            <w:tcW w:type="dxa" w:w="288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10% (27.8M)</w:t>
            </w:r>
          </w:p>
        </w:tc>
        <w:tc>
          <w:tcPr>
            <w:tcW w:type="dxa" w:w="2016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$10</w:t>
            </w:r>
          </w:p>
        </w:tc>
        <w:tc>
          <w:tcPr>
            <w:tcW w:type="dxa" w:w="2592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+$215K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Base</w:t>
            </w:r>
          </w:p>
        </w:tc>
        <w:tc>
          <w:tcPr>
            <w:tcW w:type="dxa" w:w="288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20% (55.6M)</w:t>
            </w:r>
          </w:p>
        </w:tc>
        <w:tc>
          <w:tcPr>
            <w:tcW w:type="dxa" w:w="20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$8</w:t>
            </w:r>
          </w:p>
        </w:tc>
        <w:tc>
          <w:tcPr>
            <w:tcW w:type="dxa" w:w="2592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+$319K</w:t>
            </w:r>
          </w:p>
        </w:tc>
      </w:tr>
      <w:tr>
        <w:tc>
          <w:tcPr>
            <w:tcW w:type="dxa" w:w="2160"/>
            <w:shd w:val="clear" w:fill="E8F4F5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Base</w:t>
            </w:r>
          </w:p>
        </w:tc>
        <w:tc>
          <w:tcPr>
            <w:tcW w:type="dxa" w:w="2880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20% (55.6M)</w:t>
            </w:r>
          </w:p>
        </w:tc>
        <w:tc>
          <w:tcPr>
            <w:tcW w:type="dxa" w:w="2016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$10</w:t>
            </w:r>
          </w:p>
        </w:tc>
        <w:tc>
          <w:tcPr>
            <w:tcW w:type="dxa" w:w="2592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+$430K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Upside</w:t>
            </w:r>
          </w:p>
        </w:tc>
        <w:tc>
          <w:tcPr>
            <w:tcW w:type="dxa" w:w="288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30% (83.3M)</w:t>
            </w:r>
          </w:p>
        </w:tc>
        <w:tc>
          <w:tcPr>
            <w:tcW w:type="dxa" w:w="20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$8</w:t>
            </w:r>
          </w:p>
        </w:tc>
        <w:tc>
          <w:tcPr>
            <w:tcW w:type="dxa" w:w="2592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+$478K</w:t>
            </w:r>
          </w:p>
        </w:tc>
      </w:tr>
      <w:tr>
        <w:tc>
          <w:tcPr>
            <w:tcW w:type="dxa" w:w="2160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Upside</w:t>
            </w:r>
          </w:p>
        </w:tc>
        <w:tc>
          <w:tcPr>
            <w:tcW w:type="dxa" w:w="288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30% (83.3M)</w:t>
            </w:r>
          </w:p>
        </w:tc>
        <w:tc>
          <w:tcPr>
            <w:tcW w:type="dxa" w:w="2016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$10</w:t>
            </w:r>
          </w:p>
        </w:tc>
        <w:tc>
          <w:tcPr>
            <w:tcW w:type="dxa" w:w="2592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+$645K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Scope note — </w:t>
      </w:r>
      <w:r>
        <w:rPr>
          <w:color w:val="1F2A30"/>
          <w:sz w:val="22"/>
        </w:rPr>
        <w:t>These figures cover the top-6 ad units only. The full U.S. programmatic pool is ~619M impressions, so the account-wide ceiling is materially higher.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Plus — </w:t>
      </w:r>
      <w:r>
        <w:rPr>
          <w:color w:val="1F2A30"/>
          <w:sz w:val="22"/>
        </w:rPr>
        <w:t>house inventory on these units (~14.4M impressions/yr at $1) adds a further ~$58K–$72K/yr if sold via PD at $5–$6 — near-zero-risk upside from currently unmonetized inventory.</w:t>
      </w:r>
    </w:p>
    <w:p>
      <w:pPr>
        <w:spacing w:before="280" w:after="80"/>
      </w:pPr>
      <w:r>
        <w:rPr>
          <w:b/>
          <w:color w:val="0B5C65"/>
          <w:sz w:val="32"/>
        </w:rPr>
        <w:t>6.  The Ask: A Dedicated PG/PD Sales Resource</w:t>
      </w:r>
    </w:p>
    <w:p>
      <w:pPr>
        <w:spacing w:after="120"/>
      </w:pPr>
      <w:r>
        <w:rPr>
          <w:b w:val="0"/>
          <w:i w:val="0"/>
          <w:color w:val="1F2A30"/>
          <w:sz w:val="22"/>
        </w:rPr>
        <w:t>Capturing this opportunity requires someone whose full-time job is to turn under-priced programmatic inventory into negotiated deals. Today no one owns this motion end-to-end, which is precisely why the gap persists despite a strong direct team.</w:t>
      </w:r>
    </w:p>
    <w:p>
      <w:pPr>
        <w:spacing w:before="160" w:after="80"/>
      </w:pPr>
      <w:r>
        <w:rPr>
          <w:b/>
          <w:color w:val="0F7D88"/>
          <w:sz w:val="24"/>
        </w:rPr>
        <w:t>What the resource does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Outreach &amp; sales — </w:t>
      </w:r>
      <w:r>
        <w:rPr>
          <w:color w:val="1F2A30"/>
          <w:sz w:val="22"/>
        </w:rPr>
        <w:t>proactively reach out to advertisers, agencies and DSP/SSP demand partners to build a PG/PD pipeline and bring in sales.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Packaging — </w:t>
      </w:r>
      <w:r>
        <w:rPr>
          <w:color w:val="1F2A30"/>
          <w:sz w:val="22"/>
        </w:rPr>
        <w:t>package premium, high-impact ad units into PG and PD offers with clear pricing, targeting and specs.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Execution — </w:t>
      </w:r>
      <w:r>
        <w:rPr>
          <w:color w:val="1F2A30"/>
          <w:sz w:val="22"/>
        </w:rPr>
        <w:t>set up and manage proposals and line items in GAM; run creative QA and launch readiness.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Optimization — </w:t>
      </w:r>
      <w:r>
        <w:rPr>
          <w:color w:val="1F2A30"/>
          <w:sz w:val="22"/>
        </w:rPr>
        <w:t>monitor delivery, pacing and discrepancies; deliver post-campaign reporting to drive repeat deals.</w:t>
      </w:r>
    </w:p>
    <w:p>
      <w:pPr>
        <w:spacing w:before="160" w:after="80"/>
      </w:pPr>
      <w:r>
        <w:rPr>
          <w:b/>
          <w:color w:val="0F7D88"/>
          <w:sz w:val="24"/>
        </w:rPr>
        <w:t>KPIs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2D4"/>
          <w:left w:val="single" w:sz="6" w:space="0" w:color="C9D2D4"/>
          <w:bottom w:val="single" w:sz="6" w:space="0" w:color="C9D2D4"/>
          <w:right w:val="single" w:sz="6" w:space="0" w:color="C9D2D4"/>
          <w:insideH w:val="single" w:sz="6" w:space="0" w:color="C9D2D4"/>
          <w:insideV w:val="single" w:sz="6" w:space="0" w:color="C9D2D4"/>
        </w:tblBorders>
      </w:tblPr>
      <w:tblGrid>
        <w:gridCol w:w="4320"/>
        <w:gridCol w:w="4320"/>
      </w:tblGrid>
      <w:tr>
        <w:tc>
          <w:tcPr>
            <w:tcW w:type="dxa" w:w="5184"/>
            <w:shd w:val="clear" w:fill="0B5C65"/>
          </w:tcPr>
          <w:p>
            <w:pPr>
              <w:spacing w:after="40" w:before="40"/>
              <w:jc w:val="left"/>
            </w:pPr>
            <w:r/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type="dxa" w:w="4320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518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PG/PD deals closed / activated</w:t>
            </w:r>
          </w:p>
        </w:tc>
        <w:tc>
          <w:tcPr>
            <w:tcW w:type="dxa" w:w="432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monthly, growing quarter over quarter</w:t>
            </w:r>
          </w:p>
        </w:tc>
      </w:tr>
      <w:tr>
        <w:tc>
          <w:tcPr>
            <w:tcW w:type="dxa" w:w="5184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Proposal turnaround time</w:t>
            </w:r>
          </w:p>
        </w:tc>
        <w:tc>
          <w:tcPr>
            <w:tcW w:type="dxa" w:w="432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&lt; 48 hours</w:t>
            </w:r>
          </w:p>
        </w:tc>
      </w:tr>
      <w:tr>
        <w:tc>
          <w:tcPr>
            <w:tcW w:type="dxa" w:w="518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Campaign delivery rate</w:t>
            </w:r>
          </w:p>
        </w:tc>
        <w:tc>
          <w:tcPr>
            <w:tcW w:type="dxa" w:w="432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&gt; 90%</w:t>
            </w:r>
          </w:p>
        </w:tc>
      </w:tr>
      <w:tr>
        <w:tc>
          <w:tcPr>
            <w:tcW w:type="dxa" w:w="5184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Programmatic eCPM on packaged units</w:t>
            </w:r>
          </w:p>
        </w:tc>
        <w:tc>
          <w:tcPr>
            <w:tcW w:type="dxa" w:w="432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$8–$10 (from ~$2.3 today)</w:t>
            </w:r>
          </w:p>
        </w:tc>
      </w:tr>
      <w:tr>
        <w:tc>
          <w:tcPr>
            <w:tcW w:type="dxa" w:w="518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PG/PD share of programmatic revenue</w:t>
            </w:r>
          </w:p>
        </w:tc>
        <w:tc>
          <w:tcPr>
            <w:tcW w:type="dxa" w:w="432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5–10% within 3 months (from &lt;1%)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F7D88"/>
          <w:left w:val="single" w:sz="12" w:space="0" w:color="0F7D88"/>
          <w:bottom w:val="single" w:sz="12" w:space="0" w:color="0F7D88"/>
          <w:right w:val="single" w:sz="12" w:space="0" w:color="0F7D88"/>
          <w:insideH w:val="single" w:sz="12" w:space="0" w:color="0F7D88"/>
          <w:insideV w:val="single" w:sz="12" w:space="0" w:color="0F7D88"/>
        </w:tblBorders>
      </w:tblPr>
      <w:tblGrid>
        <w:gridCol w:w="8640"/>
      </w:tblGrid>
      <w:tr>
        <w:tc>
          <w:tcPr>
            <w:tcW w:type="dxa" w:w="8640"/>
            <w:shd w:val="clear" w:fill="E8F4F5"/>
          </w:tcPr>
          <w:p>
            <w:pPr>
              <w:spacing w:before="120" w:after="120"/>
            </w:pPr>
            <w:r/>
            <w:r>
              <w:rPr>
                <w:b/>
                <w:color w:val="0B5C65"/>
                <w:sz w:val="23"/>
              </w:rPr>
              <w:t xml:space="preserve">Return on the resource:  </w:t>
            </w:r>
            <w:r>
              <w:rPr>
                <w:color w:val="1F2A30"/>
                <w:sz w:val="22"/>
              </w:rPr>
              <w:t>even the most conservative scenario (10% shift at $8 ≈ +$159K/yr, top-6 units only) covers a fully-loaded resource several times over. The base case (~$319K–$430K/yr) makes the investment decision straightforward — and it scales as the pipeline matures across the full inventory.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0B5C65"/>
          <w:sz w:val="32"/>
        </w:rPr>
        <w:t>7.  Recommendation &amp; Next Steps</w:t>
      </w:r>
    </w:p>
    <w:p>
      <w:pPr>
        <w:spacing w:after="120"/>
      </w:pPr>
      <w:r>
        <w:rPr>
          <w:b/>
          <w:i w:val="0"/>
          <w:color w:val="1F2A30"/>
          <w:sz w:val="22"/>
        </w:rPr>
        <w:t>The opportunity is real, quantified, low-risk and additive — it does not cannibalize the direct business; it prices the inventory the direct team does not sell. We recommend proceeding.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1. </w:t>
      </w:r>
      <w:r>
        <w:rPr>
          <w:color w:val="1F2A30"/>
          <w:sz w:val="22"/>
        </w:rPr>
        <w:t>approve one dedicated PG/PD sales resource to own advertiser outreach, deal-making and execution.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2. </w:t>
      </w:r>
      <w:r>
        <w:rPr>
          <w:color w:val="1F2A30"/>
          <w:sz w:val="22"/>
        </w:rPr>
        <w:t>start with the top-6 high-impact ad units and house inventory as the initial package.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3. </w:t>
      </w:r>
      <w:r>
        <w:rPr>
          <w:color w:val="1F2A30"/>
          <w:sz w:val="22"/>
        </w:rPr>
        <w:t>set a 90-day first-quarter goal: 3–5 live PG/PD deals, delivery &gt;90%, and PG/PD reaching 5–10% of programmatic revenue.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4. </w:t>
      </w:r>
      <w:r>
        <w:rPr>
          <w:color w:val="1F2A30"/>
          <w:sz w:val="22"/>
        </w:rPr>
        <w:t>align on go-live timing and confirm target advertiser/agency list for initial outreach.</w:t>
      </w:r>
    </w:p>
    <w:p>
      <w:pPr>
        <w:spacing w:before="360"/>
      </w:pPr>
      <w:r>
        <w:rPr>
          <w:i/>
          <w:color w:val="5B6B73"/>
          <w:sz w:val="17"/>
        </w:rPr>
        <w:t>Prepared by Databeat for TIME  ·  U.S. inventory  ·  GAM Jan 2025 – Jun 2026 (June 2026 excluded).  All revenue/eCPM figures anchored on the clean FY2025 period and June-independent programmatic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F2A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