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2A44"/>
          <w:sz w:val="44"/>
          <w:szCs w:val="44"/>
        </w:rPr>
        <w:t xml:space="preserve">STARTUP VALIDATION REPORT</w:t>
      </w:r>
    </w:p>
    <w:p>
      <w:pPr>
        <w:spacing w:after="100" w:before="200"/>
        <w:jc w:val="center"/>
      </w:pPr>
      <w:r>
        <w:rPr>
          <w:rFonts w:ascii="Calibri" w:cs="Calibri" w:eastAsia="Calibri" w:hAnsi="Calibri"/>
          <w:b/>
          <w:bCs/>
          <w:color w:val="B8863B"/>
          <w:sz w:val="60"/>
          <w:szCs w:val="60"/>
        </w:rPr>
        <w:t xml:space="preserve">CertiGuard AI</w:t>
      </w:r>
    </w:p>
    <w:p>
      <w:pPr>
        <w:spacing w:after="600"/>
        <w:jc w:val="center"/>
      </w:pPr>
      <w:r>
        <w:rPr>
          <w:rFonts w:ascii="Calibri" w:cs="Calibri" w:eastAsia="Calibri" w:hAnsi="Calibri"/>
          <w:i/>
          <w:iCs/>
          <w:color w:val="5B6472"/>
          <w:sz w:val="24"/>
          <w:szCs w:val="24"/>
        </w:rPr>
        <w:t xml:space="preserve">AI-Powered Certificate Fraud Detection &amp; Verification Platform</w:t>
      </w:r>
    </w:p>
    <w:p>
      <w:pPr>
        <w:spacing w:before="800"/>
        <w:jc w:val="center"/>
      </w:pPr>
      <w:r>
        <w:rPr>
          <w:rFonts w:ascii="Calibri" w:cs="Calibri" w:eastAsia="Calibri" w:hAnsi="Calibri"/>
          <w:color w:val="5B6472"/>
          <w:sz w:val="20"/>
          <w:szCs w:val="20"/>
        </w:rPr>
        <w:t xml:space="preserve">Prepared in the style of an early-stage VC / accelerator diligence memo</w:t>
      </w:r>
    </w:p>
    <w:p>
      <w:pPr>
        <w:spacing w:before="100"/>
        <w:jc w:val="center"/>
      </w:pPr>
      <w:r>
        <w:rPr>
          <w:rFonts w:ascii="Calibri" w:cs="Calibri" w:eastAsia="Calibri" w:hAnsi="Calibri"/>
          <w:color w:val="5B6472"/>
          <w:sz w:val="20"/>
          <w:szCs w:val="20"/>
        </w:rPr>
        <w:t xml:space="preserve">Market Focus: India (Phase 1)  •  Stage: Prototype  •  Track: Startup / SaaS</w:t>
      </w:r>
    </w:p>
    <w:p>
      <w:pPr>
        <w:spacing w:before="100"/>
        <w:jc w:val="center"/>
      </w:pPr>
      <w:r>
        <w:rPr>
          <w:rFonts w:ascii="Calibri" w:cs="Calibri" w:eastAsia="Calibri" w:hAnsi="Calibri"/>
          <w:color w:val="5B6472"/>
          <w:sz w:val="20"/>
          <w:szCs w:val="20"/>
        </w:rPr>
        <w:t xml:space="preserve">Date: July 2026</w:t>
      </w:r>
    </w:p>
    <w:p>
      <w:r>
        <w:br w:type="page"/>
      </w:r>
    </w:p>
    <w:p>
      <w:pPr>
        <w:pStyle w:val="Heading1"/>
        <w:pBdr>
          <w:bottom w:val="single" w:color="B8863B" w:sz="12" w:space="4"/>
        </w:pBdr>
        <w:spacing w:after="200" w:before="480"/>
      </w:pPr>
      <w:r>
        <w:rPr>
          <w:rFonts w:ascii="Calibri" w:cs="Calibri" w:eastAsia="Calibri" w:hAnsi="Calibri"/>
          <w:b/>
          <w:bCs/>
          <w:color w:val="1F2A44"/>
          <w:sz w:val="30"/>
          <w:szCs w:val="30"/>
        </w:rPr>
        <w:t xml:space="preserve">1. Executive Summary</w:t>
      </w:r>
    </w:p>
    <w:p>
      <w:pPr>
        <w:spacing w:after="160" w:line="276"/>
      </w:pPr>
      <w:r>
        <w:rPr>
          <w:rFonts w:ascii="Calibri" w:cs="Calibri" w:eastAsia="Calibri" w:hAnsi="Calibri"/>
          <w:color w:val="2B2F36"/>
          <w:sz w:val="21"/>
          <w:szCs w:val="21"/>
        </w:rPr>
        <w:t xml:space="preserve">CertiGuard AI proposes to solve certificate fraud — forged, edited, or fabricated academic and professional credentials — using OCR, computer vision, and machine learning to deliver instant, automated verification for institutions, employers, and recruiters. The problem is real, well-documented, and economically damaging; the proposed solution sits at the intersection of a growing digital-identity/EdTech-verification category and a market (India) with very high certificate volume.</w:t>
      </w:r>
    </w:p>
    <w:p>
      <w:pPr>
        <w:spacing w:after="160" w:line="276"/>
      </w:pPr>
      <w:r>
        <w:rPr>
          <w:rFonts w:ascii="Calibri" w:cs="Calibri" w:eastAsia="Calibri" w:hAnsi="Calibri"/>
          <w:color w:val="2B2F36"/>
          <w:sz w:val="21"/>
          <w:szCs w:val="21"/>
        </w:rPr>
        <w:t xml:space="preserve">At this stage the company is pre-revenue and pre-pilot: a working prototype exists and has been demonstrated informally to faculty and peers. This is a normal and healthy starting point for a student-led deep-tech startup, but it means the venture is currently in the 'problem-solution fit' phase, not yet 'product-market fit'. The core risks are not technical feasibility (OCR/CV fraud-detection is achievable) but rather distribution, trust/liability, and integration into slow-moving institutional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Founder-Market Fit</w:t>
            </w:r>
          </w:p>
        </w:tc>
        <w:tc>
          <w:tcPr>
            <w:tcW w:type="dxa" w:w="312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Overall Validation Score</w:t>
            </w:r>
          </w:p>
        </w:tc>
        <w:tc>
          <w:tcPr>
            <w:tcW w:type="dxa" w:w="312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Recommendation</w:t>
            </w:r>
          </w:p>
        </w:tc>
      </w:tr>
      <w:tr>
        <w:tc>
          <w:tcPr>
            <w:tcW w:type="dxa" w:w="3120"/>
            <w:tcMar>
              <w:top w:type="dxa" w:w="90"/>
              <w:left w:type="dxa" w:w="120"/>
              <w:bottom w:type="dxa" w:w="90"/>
              <w:right w:type="dxa" w:w="120"/>
            </w:tcMar>
            <w:vAlign w:val="center"/>
          </w:tcPr>
          <w:p>
            <w:pPr>
              <w:jc w:val="center"/>
            </w:pPr>
            <w:r>
              <w:rPr>
                <w:rFonts w:ascii="Calibri" w:cs="Calibri" w:eastAsia="Calibri" w:hAnsi="Calibri"/>
                <w:b/>
                <w:bCs/>
                <w:color w:val="1F2A44"/>
                <w:sz w:val="20"/>
                <w:szCs w:val="20"/>
              </w:rPr>
              <w:t xml:space="preserve">7.2 / 10</w:t>
            </w:r>
          </w:p>
        </w:tc>
        <w:tc>
          <w:tcPr>
            <w:tcW w:type="dxa" w:w="3120"/>
            <w:tcMar>
              <w:top w:type="dxa" w:w="90"/>
              <w:left w:type="dxa" w:w="120"/>
              <w:bottom w:type="dxa" w:w="90"/>
              <w:right w:type="dxa" w:w="120"/>
            </w:tcMar>
            <w:vAlign w:val="center"/>
          </w:tcPr>
          <w:p>
            <w:pPr>
              <w:jc w:val="center"/>
            </w:pPr>
            <w:r>
              <w:rPr>
                <w:rFonts w:ascii="Calibri" w:cs="Calibri" w:eastAsia="Calibri" w:hAnsi="Calibri"/>
                <w:b/>
                <w:bCs/>
                <w:color w:val="1F2A44"/>
                <w:sz w:val="20"/>
                <w:szCs w:val="20"/>
              </w:rPr>
              <w:t xml:space="preserve">6.4 / 10</w:t>
            </w:r>
          </w:p>
        </w:tc>
        <w:tc>
          <w:tcPr>
            <w:tcW w:type="dxa" w:w="3120"/>
            <w:tcMar>
              <w:top w:type="dxa" w:w="90"/>
              <w:left w:type="dxa" w:w="120"/>
              <w:bottom w:type="dxa" w:w="90"/>
              <w:right w:type="dxa" w:w="120"/>
            </w:tcMar>
            <w:vAlign w:val="center"/>
          </w:tcPr>
          <w:p>
            <w:pPr>
              <w:jc w:val="center"/>
            </w:pPr>
            <w:r>
              <w:rPr>
                <w:rFonts w:ascii="Calibri" w:cs="Calibri" w:eastAsia="Calibri" w:hAnsi="Calibri"/>
                <w:b/>
                <w:bCs/>
                <w:color w:val="1E7A46"/>
                <w:sz w:val="20"/>
                <w:szCs w:val="20"/>
              </w:rPr>
              <w:t xml:space="preserve">CONDITIONAL GO</w:t>
            </w:r>
          </w:p>
        </w:tc>
      </w:tr>
    </w:tbl>
    <w:p>
      <w:pPr>
        <w:spacing w:after="200"/>
      </w:pPr>
    </w:p>
    <w:p>
      <w:pPr>
        <w:spacing w:after="160" w:line="276"/>
      </w:pPr>
      <w:r>
        <w:rPr>
          <w:rFonts w:ascii="Calibri" w:cs="Calibri" w:eastAsia="Calibri" w:hAnsi="Calibri"/>
          <w:color w:val="2B2F36"/>
          <w:sz w:val="21"/>
          <w:szCs w:val="21"/>
        </w:rPr>
        <w:t xml:space="preserve">Bottom line: pursue this as a startup, but treat the next 90 days as a validation sprint, not a build sprint. The single highest-leverage action is securing 2–3 pilot institutions willing to test real (anonymized) certificate batches — everything else in this report is downstream of that evidence.</w:t>
      </w:r>
    </w:p>
    <w:p>
      <w:r>
        <w:br w:type="page"/>
      </w:r>
    </w:p>
    <w:p>
      <w:pPr>
        <w:pStyle w:val="Heading1"/>
        <w:pBdr>
          <w:bottom w:val="single" w:color="B8863B" w:sz="12" w:space="4"/>
        </w:pBdr>
        <w:spacing w:after="200" w:before="480"/>
      </w:pPr>
      <w:r>
        <w:rPr>
          <w:rFonts w:ascii="Calibri" w:cs="Calibri" w:eastAsia="Calibri" w:hAnsi="Calibri"/>
          <w:b/>
          <w:bCs/>
          <w:color w:val="1F2A44"/>
          <w:sz w:val="30"/>
          <w:szCs w:val="30"/>
        </w:rPr>
        <w:t xml:space="preserve">2. Problem Validation</w:t>
      </w:r>
    </w:p>
    <w:p>
      <w:pPr>
        <w:pStyle w:val="Heading2"/>
        <w:spacing w:after="140" w:before="320"/>
      </w:pPr>
      <w:r>
        <w:rPr>
          <w:rFonts w:ascii="Calibri" w:cs="Calibri" w:eastAsia="Calibri" w:hAnsi="Calibri"/>
          <w:b/>
          <w:bCs/>
          <w:color w:val="1F2A44"/>
          <w:sz w:val="24"/>
          <w:szCs w:val="24"/>
        </w:rPr>
        <w:t xml:space="preserve">2.1 Is the problem real?</w:t>
      </w:r>
    </w:p>
    <w:p>
      <w:pPr>
        <w:spacing w:after="160" w:line="276"/>
      </w:pPr>
      <w:r>
        <w:rPr>
          <w:rFonts w:ascii="Calibri" w:cs="Calibri" w:eastAsia="Calibri" w:hAnsi="Calibri"/>
          <w:color w:val="2B2F36"/>
          <w:sz w:val="21"/>
          <w:szCs w:val="21"/>
        </w:rPr>
        <w:t xml:space="preserve">Certificate and degree fraud is a widely reported problem in India across three channels: (1) admissions fraud — fabricated marksheets/transfer certificates; (2) recruitment fraud — fake degree certificates, forged experience letters, and inflated grades; (3) 'degree mills' and unaccredited certificate issuers. HR and university admissions teams commonly rely on manual checks, phone verification with issuing institutions, or third-party background-check vendors — all slow (days to weeks) and inconsistent in quality.</w:t>
      </w:r>
    </w:p>
    <w:p>
      <w:pPr>
        <w:pStyle w:val="Heading2"/>
        <w:spacing w:after="140" w:before="320"/>
      </w:pPr>
      <w:r>
        <w:rPr>
          <w:rFonts w:ascii="Calibri" w:cs="Calibri" w:eastAsia="Calibri" w:hAnsi="Calibri"/>
          <w:b/>
          <w:bCs/>
          <w:color w:val="1F2A44"/>
          <w:sz w:val="24"/>
          <w:szCs w:val="24"/>
        </w:rPr>
        <w:t xml:space="preserve">2.2 Evidence strength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2800"/>
        <w:gridCol w:w="2060"/>
      </w:tblGrid>
      <w:tr>
        <w:trPr>
          <w:tblHeader/>
        </w:trPr>
        <w:tc>
          <w:tcPr>
            <w:tcW w:type="dxa" w:w="450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Validation Signal</w:t>
            </w:r>
          </w:p>
        </w:tc>
        <w:tc>
          <w:tcPr>
            <w:tcW w:type="dxa" w:w="280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Status</w:t>
            </w:r>
          </w:p>
        </w:tc>
        <w:tc>
          <w:tcPr>
            <w:tcW w:type="dxa" w:w="206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Strength</w:t>
            </w:r>
          </w:p>
        </w:tc>
      </w:tr>
      <w:tr>
        <w:tc>
          <w:tcPr>
            <w:tcW w:type="dxa" w:w="4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Working prototype (OCR + CV + ML)</w:t>
            </w:r>
          </w:p>
        </w:tc>
        <w:tc>
          <w:tcPr>
            <w:tcW w:type="dxa" w:w="2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Built</w:t>
            </w:r>
          </w:p>
        </w:tc>
        <w:tc>
          <w:tcPr>
            <w:tcW w:type="dxa" w:w="20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Strong</w:t>
            </w:r>
          </w:p>
        </w:tc>
      </w:tr>
      <w:tr>
        <w:tc>
          <w:tcPr>
            <w:tcW w:type="dxa" w:w="45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Faculty / peer demo feedback</w:t>
            </w:r>
          </w:p>
        </w:tc>
        <w:tc>
          <w:tcPr>
            <w:tcW w:type="dxa" w:w="28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Informal, positive</w:t>
            </w:r>
          </w:p>
        </w:tc>
        <w:tc>
          <w:tcPr>
            <w:tcW w:type="dxa" w:w="20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Weak–Moderate</w:t>
            </w:r>
          </w:p>
        </w:tc>
      </w:tr>
      <w:tr>
        <w:tc>
          <w:tcPr>
            <w:tcW w:type="dxa" w:w="4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Paying pilot customer</w:t>
            </w:r>
          </w:p>
        </w:tc>
        <w:tc>
          <w:tcPr>
            <w:tcW w:type="dxa" w:w="2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Not yet secured</w:t>
            </w:r>
          </w:p>
        </w:tc>
        <w:tc>
          <w:tcPr>
            <w:tcW w:type="dxa" w:w="20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Missing</w:t>
            </w:r>
          </w:p>
        </w:tc>
      </w:tr>
      <w:tr>
        <w:tc>
          <w:tcPr>
            <w:tcW w:type="dxa" w:w="45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Institutional LOI / waitlist</w:t>
            </w:r>
          </w:p>
        </w:tc>
        <w:tc>
          <w:tcPr>
            <w:tcW w:type="dxa" w:w="28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Not yet secured</w:t>
            </w:r>
          </w:p>
        </w:tc>
        <w:tc>
          <w:tcPr>
            <w:tcW w:type="dxa" w:w="20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Missing</w:t>
            </w:r>
          </w:p>
        </w:tc>
      </w:tr>
      <w:tr>
        <w:tc>
          <w:tcPr>
            <w:tcW w:type="dxa" w:w="4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Documented fraud case studies referenced</w:t>
            </w:r>
          </w:p>
        </w:tc>
        <w:tc>
          <w:tcPr>
            <w:tcW w:type="dxa" w:w="2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Anecdotal / industry-known</w:t>
            </w:r>
          </w:p>
        </w:tc>
        <w:tc>
          <w:tcPr>
            <w:tcW w:type="dxa" w:w="20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Moderate</w:t>
            </w:r>
          </w:p>
        </w:tc>
      </w:tr>
      <w:tr>
        <w:tc>
          <w:tcPr>
            <w:tcW w:type="dxa" w:w="45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Survey of HR/admissions pain (n&gt;20)</w:t>
            </w:r>
          </w:p>
        </w:tc>
        <w:tc>
          <w:tcPr>
            <w:tcW w:type="dxa" w:w="28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Not yet conducted</w:t>
            </w:r>
          </w:p>
        </w:tc>
        <w:tc>
          <w:tcPr>
            <w:tcW w:type="dxa" w:w="20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Missing</w:t>
            </w:r>
          </w:p>
        </w:tc>
      </w:tr>
    </w:tbl>
    <w:p>
      <w:pPr>
        <w:spacing w:after="200"/>
      </w:pPr>
    </w:p>
    <w:p>
      <w:pPr>
        <w:spacing w:after="160" w:line="276"/>
      </w:pPr>
      <w:r>
        <w:rPr>
          <w:rFonts w:ascii="Calibri" w:cs="Calibri" w:eastAsia="Calibri" w:hAnsi="Calibri"/>
          <w:color w:val="2B2F36"/>
          <w:sz w:val="21"/>
          <w:szCs w:val="21"/>
        </w:rPr>
        <w:t xml:space="preserve">Interpretation: the problem itself is well-validated externally (fraud is a known, recurring issue), but demand validation specific to this product is still thin. The gap to close is not 'does the problem exist' but 'will an institution change its process and pay to fix it with this specific product.'</w:t>
      </w:r>
    </w:p>
    <w:p>
      <w:r>
        <w:br w:type="page"/>
      </w:r>
    </w:p>
    <w:p>
      <w:pPr>
        <w:pStyle w:val="Heading1"/>
        <w:pBdr>
          <w:bottom w:val="single" w:color="B8863B" w:sz="12" w:space="4"/>
        </w:pBdr>
        <w:spacing w:after="200" w:before="480"/>
      </w:pPr>
      <w:r>
        <w:rPr>
          <w:rFonts w:ascii="Calibri" w:cs="Calibri" w:eastAsia="Calibri" w:hAnsi="Calibri"/>
          <w:b/>
          <w:bCs/>
          <w:color w:val="1F2A44"/>
          <w:sz w:val="30"/>
          <w:szCs w:val="30"/>
        </w:rPr>
        <w:t xml:space="preserve">3. Founder-Market Fit Score</w:t>
      </w:r>
    </w:p>
    <w:p>
      <w:pPr>
        <w:spacing w:after="160" w:line="276"/>
      </w:pPr>
      <w:r>
        <w:rPr>
          <w:rFonts w:ascii="Calibri" w:cs="Calibri" w:eastAsia="Calibri" w:hAnsi="Calibri"/>
          <w:color w:val="2B2F36"/>
          <w:sz w:val="21"/>
          <w:szCs w:val="21"/>
        </w:rPr>
        <w:t xml:space="preserve">Founder-market fit measures how well your background, skills, and motivation match the demands of this specific business — not general entrepreneurial aptitude.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1800"/>
        <w:gridCol w:w="3160"/>
      </w:tblGrid>
      <w:tr>
        <w:trPr>
          <w:tblHeader/>
        </w:trPr>
        <w:tc>
          <w:tcPr>
            <w:tcW w:type="dxa" w:w="440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Dimension</w:t>
            </w:r>
          </w:p>
        </w:tc>
        <w:tc>
          <w:tcPr>
            <w:tcW w:type="dxa" w:w="180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Score (/10)</w:t>
            </w:r>
          </w:p>
        </w:tc>
        <w:tc>
          <w:tcPr>
            <w:tcW w:type="dxa" w:w="316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Notes</w:t>
            </w:r>
          </w:p>
        </w:tc>
      </w:tr>
      <w:tr>
        <w:tc>
          <w:tcPr>
            <w:tcW w:type="dxa" w:w="4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Technical capability (AI/DS background)</w:t>
            </w:r>
          </w:p>
        </w:tc>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8.5</w:t>
            </w:r>
          </w:p>
        </w:tc>
        <w:tc>
          <w:tcPr>
            <w:tcW w:type="dxa" w:w="31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Directly relevant degree track; OCR/CV/ML is within core competency</w:t>
            </w:r>
          </w:p>
        </w:tc>
      </w:tr>
      <w:tr>
        <w:tc>
          <w:tcPr>
            <w:tcW w:type="dxa" w:w="44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Domain expertise (verification, compliance, HR-tech)</w:t>
            </w:r>
          </w:p>
        </w:tc>
        <w:tc>
          <w:tcPr>
            <w:tcW w:type="dxa" w:w="18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5.0</w:t>
            </w:r>
          </w:p>
        </w:tc>
        <w:tc>
          <w:tcPr>
            <w:tcW w:type="dxa" w:w="31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No prior industry experience in HR-tech, EdTech ops, or fraud/compliance — learnable, not yet demonstrated</w:t>
            </w:r>
          </w:p>
        </w:tc>
      </w:tr>
      <w:tr>
        <w:tc>
          <w:tcPr>
            <w:tcW w:type="dxa" w:w="4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Network access to buyers (universities, HR, govt)</w:t>
            </w:r>
          </w:p>
        </w:tc>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5.5</w:t>
            </w:r>
          </w:p>
        </w:tc>
        <w:tc>
          <w:tcPr>
            <w:tcW w:type="dxa" w:w="31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Faculty access is a real asset; corporate HR / government relationships not yet established</w:t>
            </w:r>
          </w:p>
        </w:tc>
      </w:tr>
      <w:tr>
        <w:tc>
          <w:tcPr>
            <w:tcW w:type="dxa" w:w="44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Personal motivation &amp; mission alignment</w:t>
            </w:r>
          </w:p>
        </w:tc>
        <w:tc>
          <w:tcPr>
            <w:tcW w:type="dxa" w:w="18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9.0</w:t>
            </w:r>
          </w:p>
        </w:tc>
        <w:tc>
          <w:tcPr>
            <w:tcW w:type="dxa" w:w="31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Strong, clearly articulated intrinsic motivation tied to a real societal problem</w:t>
            </w:r>
          </w:p>
        </w:tc>
      </w:tr>
      <w:tr>
        <w:tc>
          <w:tcPr>
            <w:tcW w:type="dxa" w:w="4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Resilience signal (time, resources, stage of life)</w:t>
            </w:r>
          </w:p>
        </w:tc>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6.5</w:t>
            </w:r>
          </w:p>
        </w:tc>
        <w:tc>
          <w:tcPr>
            <w:tcW w:type="dxa" w:w="31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Student status is an asset (time, low burn) but constrains full-time commitment and fundraising credibility short-term</w:t>
            </w:r>
          </w:p>
        </w:tc>
      </w:tr>
    </w:tbl>
    <w:p>
      <w:pPr>
        <w:spacing w:after="80" w:before="200"/>
      </w:pPr>
      <w:r>
        <w:rPr>
          <w:rFonts w:ascii="Calibri" w:cs="Calibri" w:eastAsia="Calibri" w:hAnsi="Calibri"/>
          <w:b/>
          <w:bCs/>
          <w:color w:val="1F2A44"/>
          <w:sz w:val="21"/>
          <w:szCs w:val="21"/>
        </w:rPr>
        <w:t xml:space="preserve">Composite Founder-Market Fit Score: 7.2 / 10</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tblGrid>
      <w:tr>
        <w:tc>
          <w:tcPr>
            <w:tcW w:type="dxa" w:w="3500"/>
            <w:shd w:fill="B8863B" w:val="clear"/>
            <w:tcMar>
              <w:top w:type="dxa" w:w="40"/>
              <w:bottom w:type="dxa" w:w="40"/>
            </w:tcMar>
          </w:tcPr>
          <w:p/>
        </w:tc>
        <w:tc>
          <w:tcPr>
            <w:tcW w:type="dxa" w:w="1500"/>
            <w:shd w:fill="E4E7EC" w:val="clear"/>
            <w:tcMar>
              <w:top w:type="dxa" w:w="40"/>
              <w:bottom w:type="dxa" w:w="40"/>
            </w:tcMar>
          </w:tcPr>
          <w:p/>
        </w:tc>
      </w:tr>
    </w:tbl>
    <w:p>
      <w:pPr>
        <w:spacing w:after="200"/>
      </w:pPr>
    </w:p>
    <w:p>
      <w:pPr>
        <w:spacing w:after="160" w:line="276"/>
      </w:pPr>
      <w:r>
        <w:rPr>
          <w:rFonts w:ascii="Calibri" w:cs="Calibri" w:eastAsia="Calibri" w:hAnsi="Calibri"/>
          <w:color w:val="2B2F36"/>
          <w:sz w:val="21"/>
          <w:szCs w:val="21"/>
        </w:rPr>
        <w:t xml:space="preserve">Read: strong technical founder-market fit, moderate go-to-market fit. The plan should deliberately compensate for the domain/network gap — e.g., recruiting a faculty mentor or advisor with admissions/HR-tech exposure, or a co-founder with institutional sales experience — rather than assuming technical excellence alone will open institutional doors.</w:t>
      </w:r>
    </w:p>
    <w:p>
      <w:r>
        <w:br w:type="page"/>
      </w:r>
    </w:p>
    <w:p>
      <w:pPr>
        <w:pStyle w:val="Heading1"/>
        <w:pBdr>
          <w:bottom w:val="single" w:color="B8863B" w:sz="12" w:space="4"/>
        </w:pBdr>
        <w:spacing w:after="200" w:before="480"/>
      </w:pPr>
      <w:r>
        <w:rPr>
          <w:rFonts w:ascii="Calibri" w:cs="Calibri" w:eastAsia="Calibri" w:hAnsi="Calibri"/>
          <w:b/>
          <w:bCs/>
          <w:color w:val="1F2A44"/>
          <w:sz w:val="30"/>
          <w:szCs w:val="30"/>
        </w:rPr>
        <w:t xml:space="preserve">4. TAM, SAM, SOM Analysis</w:t>
      </w:r>
    </w:p>
    <w:p>
      <w:pPr>
        <w:spacing w:after="160" w:line="276"/>
      </w:pPr>
      <w:r>
        <w:rPr>
          <w:rFonts w:ascii="Calibri" w:cs="Calibri" w:eastAsia="Calibri" w:hAnsi="Calibri"/>
          <w:i/>
          <w:iCs/>
          <w:color w:val="2B2F36"/>
          <w:sz w:val="21"/>
          <w:szCs w:val="21"/>
        </w:rPr>
        <w:t xml:space="preserve">These are top-down/bottom-up estimates based on publicly known scale of India's education and hiring systems, intended to size directional opportunity, not to be treated as audited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400"/>
        <w:gridCol w:w="3160"/>
      </w:tblGrid>
      <w:tr>
        <w:trPr>
          <w:tblHeader/>
        </w:trPr>
        <w:tc>
          <w:tcPr>
            <w:tcW w:type="dxa" w:w="180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Layer</w:t>
            </w:r>
          </w:p>
        </w:tc>
        <w:tc>
          <w:tcPr>
            <w:tcW w:type="dxa" w:w="440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Definition</w:t>
            </w:r>
          </w:p>
        </w:tc>
        <w:tc>
          <w:tcPr>
            <w:tcW w:type="dxa" w:w="316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Estimated Size (India, annual)</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TAM — Total Addressable Market</w:t>
            </w:r>
          </w:p>
        </w:tc>
        <w:tc>
          <w:tcPr>
            <w:tcW w:type="dxa" w:w="4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All certificate/credential verification spend across education, hiring, government, and gig-economy screening in India</w:t>
            </w:r>
          </w:p>
        </w:tc>
        <w:tc>
          <w:tcPr>
            <w:tcW w:type="dxa" w:w="31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 ₹1,800–2,500 Cr (~$220–300M) — global TAM (credential/background verification) is several billion USD</w:t>
            </w:r>
          </w:p>
        </w:tc>
      </w:tr>
      <w:tr>
        <w:tc>
          <w:tcPr>
            <w:tcW w:type="dxa" w:w="18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SAM — Serviceable Available Market</w:t>
            </w:r>
          </w:p>
        </w:tc>
        <w:tc>
          <w:tcPr>
            <w:tcW w:type="dxa" w:w="44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Verification spend addressable by an AI-based SaaS product (excludes purely manual/government-only workflows initially)</w:t>
            </w:r>
          </w:p>
        </w:tc>
        <w:tc>
          <w:tcPr>
            <w:tcW w:type="dxa" w:w="31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 ₹350–500 Cr (~$42–60M) across universities, HR/recruitment agencies, and ed-tech certifiers</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SOM — Serviceable Obtainable Market (3-year realistic capture)</w:t>
            </w:r>
          </w:p>
        </w:tc>
        <w:tc>
          <w:tcPr>
            <w:tcW w:type="dxa" w:w="4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Realistic share capturable with a lean team, India-first GTM, and freemium/per-check pricing</w:t>
            </w:r>
          </w:p>
        </w:tc>
        <w:tc>
          <w:tcPr>
            <w:tcW w:type="dxa" w:w="31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 ₹3–8 Cr (~$360K–950K) ARR by Year 3, assuming 150–400 paying institutional accounts at modest ACV</w:t>
            </w:r>
          </w:p>
        </w:tc>
      </w:tr>
    </w:tbl>
    <w:p>
      <w:pPr>
        <w:spacing w:after="80" w:before="220"/>
      </w:pPr>
      <w:r>
        <w:rPr>
          <w:rFonts w:ascii="Calibri" w:cs="Calibri" w:eastAsia="Calibri" w:hAnsi="Calibri"/>
          <w:b/>
          <w:bCs/>
          <w:color w:val="1F2A44"/>
          <w:sz w:val="21"/>
          <w:szCs w:val="21"/>
        </w:rPr>
        <w:t xml:space="preserve">Illustrative Market Funnel</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shd w:fill="B8863B" w:val="clear"/>
            <w:tcMar>
              <w:top w:type="dxa" w:w="40"/>
              <w:bottom w:type="dxa" w:w="40"/>
            </w:tcMar>
          </w:tcPr>
          <w:p/>
        </w:tc>
      </w:tr>
    </w:tbl>
    <w:p>
      <w:pPr>
        <w:spacing w:after="160" w:line="276"/>
      </w:pPr>
      <w:r>
        <w:rPr>
          <w:rFonts w:ascii="Calibri" w:cs="Calibri" w:eastAsia="Calibri" w:hAnsi="Calibri"/>
          <w:color w:val="5B6472"/>
          <w:sz w:val="18"/>
          <w:szCs w:val="18"/>
        </w:rPr>
        <w:t xml:space="preserve">TAM (broad verification spend)</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080"/>
        <w:gridCol w:w="3120"/>
      </w:tblGrid>
      <w:tr>
        <w:tc>
          <w:tcPr>
            <w:tcW w:type="dxa" w:w="2080"/>
            <w:shd w:fill="B8863B" w:val="clear"/>
            <w:tcMar>
              <w:top w:type="dxa" w:w="40"/>
              <w:bottom w:type="dxa" w:w="40"/>
            </w:tcMar>
          </w:tcPr>
          <w:p/>
        </w:tc>
        <w:tc>
          <w:tcPr>
            <w:tcW w:type="dxa" w:w="3120"/>
            <w:shd w:fill="E4E7EC" w:val="clear"/>
            <w:tcMar>
              <w:top w:type="dxa" w:w="40"/>
              <w:bottom w:type="dxa" w:w="40"/>
            </w:tcMar>
          </w:tcPr>
          <w:p/>
        </w:tc>
      </w:tr>
    </w:tbl>
    <w:p>
      <w:pPr>
        <w:spacing w:after="160" w:line="276"/>
      </w:pPr>
      <w:r>
        <w:rPr>
          <w:rFonts w:ascii="Calibri" w:cs="Calibri" w:eastAsia="Calibri" w:hAnsi="Calibri"/>
          <w:color w:val="5B6472"/>
          <w:sz w:val="18"/>
          <w:szCs w:val="18"/>
        </w:rPr>
        <w:t xml:space="preserve">SAM (AI-SaaS addressable segment)</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520"/>
        <w:gridCol w:w="4680"/>
      </w:tblGrid>
      <w:tr>
        <w:tc>
          <w:tcPr>
            <w:tcW w:type="dxa" w:w="520"/>
            <w:shd w:fill="B8863B" w:val="clear"/>
            <w:tcMar>
              <w:top w:type="dxa" w:w="40"/>
              <w:bottom w:type="dxa" w:w="40"/>
            </w:tcMar>
          </w:tcPr>
          <w:p/>
        </w:tc>
        <w:tc>
          <w:tcPr>
            <w:tcW w:type="dxa" w:w="4680"/>
            <w:shd w:fill="E4E7EC" w:val="clear"/>
            <w:tcMar>
              <w:top w:type="dxa" w:w="40"/>
              <w:bottom w:type="dxa" w:w="40"/>
            </w:tcMar>
          </w:tcPr>
          <w:p/>
        </w:tc>
      </w:tr>
    </w:tbl>
    <w:p>
      <w:pPr>
        <w:spacing w:after="160" w:line="276"/>
      </w:pPr>
      <w:r>
        <w:rPr>
          <w:rFonts w:ascii="Calibri" w:cs="Calibri" w:eastAsia="Calibri" w:hAnsi="Calibri"/>
          <w:color w:val="5B6472"/>
          <w:sz w:val="18"/>
          <w:szCs w:val="18"/>
        </w:rPr>
        <w:t xml:space="preserve">SOM (Year-3 realistic capture)</w:t>
      </w:r>
    </w:p>
    <w:p>
      <w:pPr>
        <w:spacing w:after="160" w:line="276"/>
      </w:pPr>
      <w:r>
        <w:rPr>
          <w:rFonts w:ascii="Calibri" w:cs="Calibri" w:eastAsia="Calibri" w:hAnsi="Calibri"/>
          <w:color w:val="2B2F36"/>
          <w:sz w:val="21"/>
          <w:szCs w:val="21"/>
        </w:rPr>
        <w:t xml:space="preserve">Key sizing drivers: (1) volume of certificates issued yearly by India's ~1,100+ universities and thousands of affiliated colleges/skill-training bodies; (2) volume of hiring-time verifications by HR/recruitment agencies and background-check vendors; (3) willingness to pay per-check or per-seat pricing versus continuing free manual verification.</w:t>
      </w:r>
    </w:p>
    <w:p>
      <w:r>
        <w:br w:type="page"/>
      </w:r>
    </w:p>
    <w:p>
      <w:pPr>
        <w:pStyle w:val="Heading1"/>
        <w:pBdr>
          <w:bottom w:val="single" w:color="B8863B" w:sz="12" w:space="4"/>
        </w:pBdr>
        <w:spacing w:after="200" w:before="480"/>
      </w:pPr>
      <w:r>
        <w:rPr>
          <w:rFonts w:ascii="Calibri" w:cs="Calibri" w:eastAsia="Calibri" w:hAnsi="Calibri"/>
          <w:b/>
          <w:bCs/>
          <w:color w:val="1F2A44"/>
          <w:sz w:val="30"/>
          <w:szCs w:val="30"/>
        </w:rPr>
        <w:t xml:space="preserve">5. 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700"/>
        <w:gridCol w:w="2900"/>
        <w:gridCol w:w="2860"/>
      </w:tblGrid>
      <w:tr>
        <w:trPr>
          <w:tblHeader/>
        </w:trPr>
        <w:tc>
          <w:tcPr>
            <w:tcW w:type="dxa" w:w="190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Competitor</w:t>
            </w:r>
          </w:p>
        </w:tc>
        <w:tc>
          <w:tcPr>
            <w:tcW w:type="dxa" w:w="170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Type</w:t>
            </w:r>
          </w:p>
        </w:tc>
        <w:tc>
          <w:tcPr>
            <w:tcW w:type="dxa" w:w="290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Strengths</w:t>
            </w:r>
          </w:p>
        </w:tc>
        <w:tc>
          <w:tcPr>
            <w:tcW w:type="dxa" w:w="286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Weaknesses vs. CertiGuard AI</w:t>
            </w:r>
          </w:p>
        </w:tc>
      </w:tr>
      <w:tr>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AuthBridge / IDfy</w:t>
            </w:r>
          </w:p>
        </w:tc>
        <w:tc>
          <w:tcPr>
            <w:tcW w:type="dxa" w:w="17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India background-verification incumbents</w:t>
            </w:r>
          </w:p>
        </w:tc>
        <w:tc>
          <w:tcPr>
            <w:tcW w:type="dxa" w:w="2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Established enterprise relationships, broad screening (not just certificates), compliance credibility</w:t>
            </w:r>
          </w:p>
        </w:tc>
        <w:tc>
          <w:tcPr>
            <w:tcW w:type="dxa" w:w="28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Verification often relies on manual outreach/BPO workflows; not primarily AI/CV-driven for document forensics; slower turnaround</w:t>
            </w:r>
          </w:p>
        </w:tc>
      </w:tr>
      <w:tr>
        <w:tc>
          <w:tcPr>
            <w:tcW w:type="dxa" w:w="19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National Academic Depository (NAD) / DigiLocker</w:t>
            </w:r>
          </w:p>
        </w:tc>
        <w:tc>
          <w:tcPr>
            <w:tcW w:type="dxa" w:w="17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Government digital document infrastructure</w:t>
            </w:r>
          </w:p>
        </w:tc>
        <w:tc>
          <w:tcPr>
            <w:tcW w:type="dxa" w:w="29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Official, free, government-backed, growing adoption for issued-after digital records</w:t>
            </w:r>
          </w:p>
        </w:tc>
        <w:tc>
          <w:tcPr>
            <w:tcW w:type="dxa" w:w="28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Only covers documents already digitized/issued through participating institutions; doesn't solve legacy/paper certificates or catch sophisticated edits retroactively</w:t>
            </w:r>
          </w:p>
        </w:tc>
      </w:tr>
      <w:tr>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Blockchain credentialing startups (e.g., issuance-side platforms)</w:t>
            </w:r>
          </w:p>
        </w:tc>
        <w:tc>
          <w:tcPr>
            <w:tcW w:type="dxa" w:w="17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Tech-forward credential issuance</w:t>
            </w:r>
          </w:p>
        </w:tc>
        <w:tc>
          <w:tcPr>
            <w:tcW w:type="dxa" w:w="2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Tamper-proof by design going forward</w:t>
            </w:r>
          </w:p>
        </w:tc>
        <w:tc>
          <w:tcPr>
            <w:tcW w:type="dxa" w:w="28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Requires institutions to adopt new issuance systems; doesn't verify the vast existing stock of paper/PDF certificates already in circulation</w:t>
            </w:r>
          </w:p>
        </w:tc>
      </w:tr>
      <w:tr>
        <w:tc>
          <w:tcPr>
            <w:tcW w:type="dxa" w:w="19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Global players (e.g., Certiface, Credly-type platforms)</w:t>
            </w:r>
          </w:p>
        </w:tc>
        <w:tc>
          <w:tcPr>
            <w:tcW w:type="dxa" w:w="17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International verification/badging</w:t>
            </w:r>
          </w:p>
        </w:tc>
        <w:tc>
          <w:tcPr>
            <w:tcW w:type="dxa" w:w="29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Strong brand in some enterprise/global HR contexts</w:t>
            </w:r>
          </w:p>
        </w:tc>
        <w:tc>
          <w:tcPr>
            <w:tcW w:type="dxa" w:w="28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Limited India-specific format coverage, pricing not localized, weaker access to Indian institutions</w:t>
            </w:r>
          </w:p>
        </w:tc>
      </w:tr>
      <w:tr>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Manual in-house verification (status quo)</w:t>
            </w:r>
          </w:p>
        </w:tc>
        <w:tc>
          <w:tcPr>
            <w:tcW w:type="dxa" w:w="17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Internal HR/admissions process</w:t>
            </w:r>
          </w:p>
        </w:tc>
        <w:tc>
          <w:tcPr>
            <w:tcW w:type="dxa" w:w="2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Zero incremental software cost, 'good enough' historically</w:t>
            </w:r>
          </w:p>
        </w:tc>
        <w:tc>
          <w:tcPr>
            <w:tcW w:type="dxa" w:w="28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Slow, expensive at scale, inconsistent, no forensic fraud detection</w:t>
            </w:r>
          </w:p>
        </w:tc>
      </w:tr>
    </w:tbl>
    <w:p>
      <w:pPr>
        <w:spacing w:after="120" w:before="200"/>
      </w:pPr>
    </w:p>
    <w:p>
      <w:pPr>
        <w:spacing w:after="160" w:line="276"/>
      </w:pPr>
      <w:r>
        <w:rPr>
          <w:rFonts w:ascii="Calibri" w:cs="Calibri" w:eastAsia="Calibri" w:hAnsi="Calibri"/>
          <w:color w:val="2B2F36"/>
          <w:sz w:val="21"/>
          <w:szCs w:val="21"/>
        </w:rPr>
        <w:t xml:space="preserve">Positioning takeaway: the clearest white space is AI-forensic detection on existing/legacy certificates (paper scans, PDFs, images) — a gap that neither government digital infrastructure (forward-looking only) nor traditional BPO-style verification (manual, not forensic) currently fills well.</w:t>
      </w:r>
    </w:p>
    <w:p>
      <w:r>
        <w:br w:type="page"/>
      </w:r>
    </w:p>
    <w:p>
      <w:pPr>
        <w:pStyle w:val="Heading1"/>
        <w:pBdr>
          <w:bottom w:val="single" w:color="B8863B" w:sz="12" w:space="4"/>
        </w:pBdr>
        <w:spacing w:after="200" w:before="480"/>
      </w:pPr>
      <w:r>
        <w:rPr>
          <w:rFonts w:ascii="Calibri" w:cs="Calibri" w:eastAsia="Calibri" w:hAnsi="Calibri"/>
          <w:b/>
          <w:bCs/>
          <w:color w:val="1F2A44"/>
          <w:sz w:val="30"/>
          <w:szCs w:val="30"/>
        </w:rPr>
        <w:t xml:space="preserve">6. Market Gap Analysis</w:t>
      </w:r>
    </w:p>
    <w:p>
      <w:pPr>
        <w:pStyle w:val="ListParagraph"/>
        <w:numPr>
          <w:ilvl w:val="0"/>
          <w:numId w:val="2"/>
        </w:numPr>
        <w:spacing w:after="90"/>
      </w:pPr>
      <w:r>
        <w:rPr>
          <w:rFonts w:ascii="Calibri" w:cs="Calibri" w:eastAsia="Calibri" w:hAnsi="Calibri"/>
          <w:color w:val="2B2F36"/>
          <w:sz w:val="21"/>
          <w:szCs w:val="21"/>
        </w:rPr>
        <w:t xml:space="preserve">Retroactive coverage gap: DigiLocker/NAD-type infrastructure only helps for certificates issued digitally going forward; there is no strong AI tool for verifying the large existing stock of paper and scanned certificates.</w:t>
      </w:r>
    </w:p>
    <w:p>
      <w:pPr>
        <w:pStyle w:val="ListParagraph"/>
        <w:numPr>
          <w:ilvl w:val="0"/>
          <w:numId w:val="2"/>
        </w:numPr>
        <w:spacing w:after="90"/>
      </w:pPr>
      <w:r>
        <w:rPr>
          <w:rFonts w:ascii="Calibri" w:cs="Calibri" w:eastAsia="Calibri" w:hAnsi="Calibri"/>
          <w:color w:val="2B2F36"/>
          <w:sz w:val="21"/>
          <w:szCs w:val="21"/>
        </w:rPr>
        <w:t xml:space="preserve">Speed gap: manual and BPO-style verification takes days; no mainstream India-focused product offers sub-minute AI-based forensic screening at low per-check cost.</w:t>
      </w:r>
    </w:p>
    <w:p>
      <w:pPr>
        <w:pStyle w:val="ListParagraph"/>
        <w:numPr>
          <w:ilvl w:val="0"/>
          <w:numId w:val="2"/>
        </w:numPr>
        <w:spacing w:after="90"/>
      </w:pPr>
      <w:r>
        <w:rPr>
          <w:rFonts w:ascii="Calibri" w:cs="Calibri" w:eastAsia="Calibri" w:hAnsi="Calibri"/>
          <w:color w:val="2B2F36"/>
          <w:sz w:val="21"/>
          <w:szCs w:val="21"/>
        </w:rPr>
        <w:t xml:space="preserve">SME/mid-market gap: enterprise background-check vendors focus on large corporates; smaller colleges, training institutes, and SME employers are underserved and price-sensitive.</w:t>
      </w:r>
    </w:p>
    <w:p>
      <w:pPr>
        <w:pStyle w:val="ListParagraph"/>
        <w:numPr>
          <w:ilvl w:val="0"/>
          <w:numId w:val="2"/>
        </w:numPr>
        <w:spacing w:after="90"/>
      </w:pPr>
      <w:r>
        <w:rPr>
          <w:rFonts w:ascii="Calibri" w:cs="Calibri" w:eastAsia="Calibri" w:hAnsi="Calibri"/>
          <w:color w:val="2B2F36"/>
          <w:sz w:val="21"/>
          <w:szCs w:val="21"/>
        </w:rPr>
        <w:t xml:space="preserve">Forensic depth gap: most existing tools check 'does this record exist in a database' rather than 'has this physical/scanned document been tampered with' (font/pixel-level tampering, mismatched metadata, template inconsistencies) — this is CertiGuard AI's core technical differentiator.</w:t>
      </w:r>
    </w:p>
    <w:p>
      <w:pPr>
        <w:pStyle w:val="ListParagraph"/>
        <w:numPr>
          <w:ilvl w:val="0"/>
          <w:numId w:val="2"/>
        </w:numPr>
        <w:spacing w:after="90"/>
      </w:pPr>
      <w:r>
        <w:rPr>
          <w:rFonts w:ascii="Calibri" w:cs="Calibri" w:eastAsia="Calibri" w:hAnsi="Calibri"/>
          <w:color w:val="2B2F36"/>
          <w:sz w:val="21"/>
          <w:szCs w:val="21"/>
        </w:rPr>
        <w:t xml:space="preserve">API/integration gap: many institutions still lack a simple plug-in verification API for their admissions or ATS/HRMS systems — an opportunity for a developer-friendly SaaS + API model.</w:t>
      </w:r>
    </w:p>
    <w:p>
      <w:r>
        <w:br w:type="page"/>
      </w:r>
    </w:p>
    <w:p>
      <w:pPr>
        <w:pStyle w:val="Heading1"/>
        <w:pBdr>
          <w:bottom w:val="single" w:color="B8863B" w:sz="12" w:space="4"/>
        </w:pBdr>
        <w:spacing w:after="200" w:before="480"/>
      </w:pPr>
      <w:r>
        <w:rPr>
          <w:rFonts w:ascii="Calibri" w:cs="Calibri" w:eastAsia="Calibri" w:hAnsi="Calibri"/>
          <w:b/>
          <w:bCs/>
          <w:color w:val="1F2A44"/>
          <w:sz w:val="30"/>
          <w:szCs w:val="30"/>
        </w:rPr>
        <w:t xml:space="preserve">7. Ideal Customer Profile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Attribute</w:t>
            </w:r>
          </w:p>
        </w:tc>
        <w:tc>
          <w:tcPr>
            <w:tcW w:type="dxa" w:w="676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Profile</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Organization type</w:t>
            </w:r>
          </w:p>
        </w:tc>
        <w:tc>
          <w:tcPr>
            <w:tcW w:type="dxa" w:w="67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Mid-to-large private universities, autonomous colleges, and recruitment/staffing agencies (Phase 1); government bodies and large enterprises (Phase 2)</w:t>
            </w:r>
          </w:p>
        </w:tc>
      </w:tr>
      <w:tr>
        <w:tc>
          <w:tcPr>
            <w:tcW w:type="dxa" w:w="26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Size</w:t>
            </w:r>
          </w:p>
        </w:tc>
        <w:tc>
          <w:tcPr>
            <w:tcW w:type="dxa" w:w="67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500–20,000 students (institutions) or 5,000+ annual placements/verifications (agencies)</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Geography</w:t>
            </w:r>
          </w:p>
        </w:tc>
        <w:tc>
          <w:tcPr>
            <w:tcW w:type="dxa" w:w="67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Tier-1 and Tier-2 Indian cities with high admissions/hiring volume (Bengaluru, Pune, Hyderabad, Delhi-NCR, Chennai, Mumbai)</w:t>
            </w:r>
          </w:p>
        </w:tc>
      </w:tr>
      <w:tr>
        <w:tc>
          <w:tcPr>
            <w:tcW w:type="dxa" w:w="26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Buying trigger</w:t>
            </w:r>
          </w:p>
        </w:tc>
        <w:tc>
          <w:tcPr>
            <w:tcW w:type="dxa" w:w="67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A recent fraud incident, upcoming accreditation/audit (NAAC/NBA), or scaling hiring volume that manual checks can't keep up with</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Budget holder</w:t>
            </w:r>
          </w:p>
        </w:tc>
        <w:tc>
          <w:tcPr>
            <w:tcW w:type="dxa" w:w="67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Registrar / Admissions Head (education); HR Head / Talent Acquisition Lead (recruitment agencies, corporates)</w:t>
            </w:r>
          </w:p>
        </w:tc>
      </w:tr>
      <w:tr>
        <w:tc>
          <w:tcPr>
            <w:tcW w:type="dxa" w:w="26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Technical readiness</w:t>
            </w:r>
          </w:p>
        </w:tc>
        <w:tc>
          <w:tcPr>
            <w:tcW w:type="dxa" w:w="67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Has digitized records or scans (even if not a formal digital-issuance system); willing to integrate a lightweight API or web portal</w:t>
            </w:r>
          </w:p>
        </w:tc>
      </w:tr>
    </w:tbl>
    <w:p>
      <w:r>
        <w:br w:type="page"/>
      </w:r>
    </w:p>
    <w:p>
      <w:pPr>
        <w:pStyle w:val="Heading1"/>
        <w:pBdr>
          <w:bottom w:val="single" w:color="B8863B" w:sz="12" w:space="4"/>
        </w:pBdr>
        <w:spacing w:after="200" w:before="480"/>
      </w:pPr>
      <w:r>
        <w:rPr>
          <w:rFonts w:ascii="Calibri" w:cs="Calibri" w:eastAsia="Calibri" w:hAnsi="Calibri"/>
          <w:b/>
          <w:bCs/>
          <w:color w:val="1F2A44"/>
          <w:sz w:val="30"/>
          <w:szCs w:val="30"/>
        </w:rPr>
        <w:t xml:space="preserve">8. Buyer Persona</w:t>
      </w:r>
    </w:p>
    <w:p>
      <w:pPr>
        <w:pStyle w:val="Heading2"/>
        <w:spacing w:after="140" w:before="320"/>
      </w:pPr>
      <w:r>
        <w:rPr>
          <w:rFonts w:ascii="Calibri" w:cs="Calibri" w:eastAsia="Calibri" w:hAnsi="Calibri"/>
          <w:b/>
          <w:bCs/>
          <w:color w:val="1F2A44"/>
          <w:sz w:val="24"/>
          <w:szCs w:val="24"/>
        </w:rPr>
        <w:t xml:space="preserve">Persona: "Priya Menon" — Admissions Registrar / HR Compliance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Attribute</w:t>
            </w:r>
          </w:p>
        </w:tc>
        <w:tc>
          <w:tcPr>
            <w:tcW w:type="dxa" w:w="676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Detail</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Role</w:t>
            </w:r>
          </w:p>
        </w:tc>
        <w:tc>
          <w:tcPr>
            <w:tcW w:type="dxa" w:w="67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Registrar at a mid-size private university, or Talent Acquisition Manager at a recruitment agency</w:t>
            </w:r>
          </w:p>
        </w:tc>
      </w:tr>
      <w:tr>
        <w:tc>
          <w:tcPr>
            <w:tcW w:type="dxa" w:w="26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Age / Experience</w:t>
            </w:r>
          </w:p>
        </w:tc>
        <w:tc>
          <w:tcPr>
            <w:tcW w:type="dxa" w:w="67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32–48 years old, 8–15 years in admissions/HR operations</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Goals</w:t>
            </w:r>
          </w:p>
        </w:tc>
        <w:tc>
          <w:tcPr>
            <w:tcW w:type="dxa" w:w="67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Protect institutional/employer reputation, reduce compliance risk, speed up admissions/hiring cycles, pass accreditation audits cleanly</w:t>
            </w:r>
          </w:p>
        </w:tc>
      </w:tr>
      <w:tr>
        <w:tc>
          <w:tcPr>
            <w:tcW w:type="dxa" w:w="26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Frustrations</w:t>
            </w:r>
          </w:p>
        </w:tc>
        <w:tc>
          <w:tcPr>
            <w:tcW w:type="dxa" w:w="67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Manual cross-checking is slow and understaffed; occasional fraud cases surface after the fact and cause reputational damage; existing tools are enterprise-priced or not India-specific</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Decision style</w:t>
            </w:r>
          </w:p>
        </w:tc>
        <w:tc>
          <w:tcPr>
            <w:tcW w:type="dxa" w:w="67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Risk-averse, needs internal sign-off (Dean/CHRO), values proof (pilot results, references) over marketing claims</w:t>
            </w:r>
          </w:p>
        </w:tc>
      </w:tr>
      <w:tr>
        <w:tc>
          <w:tcPr>
            <w:tcW w:type="dxa" w:w="26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What convinces her</w:t>
            </w:r>
          </w:p>
        </w:tc>
        <w:tc>
          <w:tcPr>
            <w:tcW w:type="dxa" w:w="67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A short, low-risk pilot with real (anonymized) documents showing detection accuracy and turnaround time, plus data-privacy assurances</w:t>
            </w:r>
          </w:p>
        </w:tc>
      </w:tr>
    </w:tbl>
    <w:p>
      <w:r>
        <w:br w:type="page"/>
      </w:r>
    </w:p>
    <w:p>
      <w:pPr>
        <w:pStyle w:val="Heading1"/>
        <w:pBdr>
          <w:bottom w:val="single" w:color="B8863B" w:sz="12" w:space="4"/>
        </w:pBdr>
        <w:spacing w:after="200" w:before="480"/>
      </w:pPr>
      <w:r>
        <w:rPr>
          <w:rFonts w:ascii="Calibri" w:cs="Calibri" w:eastAsia="Calibri" w:hAnsi="Calibri"/>
          <w:b/>
          <w:bCs/>
          <w:color w:val="1F2A44"/>
          <w:sz w:val="30"/>
          <w:szCs w:val="30"/>
        </w:rPr>
        <w:t xml:space="preserve">9. Customer Pain Points</w:t>
      </w:r>
    </w:p>
    <w:p>
      <w:pPr>
        <w:pStyle w:val="ListParagraph"/>
        <w:numPr>
          <w:ilvl w:val="0"/>
          <w:numId w:val="2"/>
        </w:numPr>
        <w:spacing w:after="90"/>
      </w:pPr>
      <w:r>
        <w:rPr>
          <w:rFonts w:ascii="Calibri" w:cs="Calibri" w:eastAsia="Calibri" w:hAnsi="Calibri"/>
          <w:color w:val="2B2F36"/>
          <w:sz w:val="21"/>
          <w:szCs w:val="21"/>
        </w:rPr>
        <w:t xml:space="preserve">Verification backlog during peak admissions/hiring season causes delays in offers and enrollment.</w:t>
      </w:r>
    </w:p>
    <w:p>
      <w:pPr>
        <w:pStyle w:val="ListParagraph"/>
        <w:numPr>
          <w:ilvl w:val="0"/>
          <w:numId w:val="2"/>
        </w:numPr>
        <w:spacing w:after="90"/>
      </w:pPr>
      <w:r>
        <w:rPr>
          <w:rFonts w:ascii="Calibri" w:cs="Calibri" w:eastAsia="Calibri" w:hAnsi="Calibri"/>
          <w:color w:val="2B2F36"/>
          <w:sz w:val="21"/>
          <w:szCs w:val="21"/>
        </w:rPr>
        <w:t xml:space="preserve">Fraud discovered after enrollment/hiring is far more costly (legal, reputational, refund/severance) than catching it upfront.</w:t>
      </w:r>
    </w:p>
    <w:p>
      <w:pPr>
        <w:pStyle w:val="ListParagraph"/>
        <w:numPr>
          <w:ilvl w:val="0"/>
          <w:numId w:val="2"/>
        </w:numPr>
        <w:spacing w:after="90"/>
      </w:pPr>
      <w:r>
        <w:rPr>
          <w:rFonts w:ascii="Calibri" w:cs="Calibri" w:eastAsia="Calibri" w:hAnsi="Calibri"/>
          <w:color w:val="2B2F36"/>
          <w:sz w:val="21"/>
          <w:szCs w:val="21"/>
        </w:rPr>
        <w:t xml:space="preserve">Existing manual process depends on individual staff judgment — inconsistent accuracy, no audit trail.</w:t>
      </w:r>
    </w:p>
    <w:p>
      <w:pPr>
        <w:pStyle w:val="ListParagraph"/>
        <w:numPr>
          <w:ilvl w:val="0"/>
          <w:numId w:val="2"/>
        </w:numPr>
        <w:spacing w:after="90"/>
      </w:pPr>
      <w:r>
        <w:rPr>
          <w:rFonts w:ascii="Calibri" w:cs="Calibri" w:eastAsia="Calibri" w:hAnsi="Calibri"/>
          <w:color w:val="2B2F36"/>
          <w:sz w:val="21"/>
          <w:szCs w:val="21"/>
        </w:rPr>
        <w:t xml:space="preserve">Cross-institution and cross-state verification (calling issuing colleges) is slow and sometimes unresponsive.</w:t>
      </w:r>
    </w:p>
    <w:p>
      <w:pPr>
        <w:pStyle w:val="ListParagraph"/>
        <w:numPr>
          <w:ilvl w:val="0"/>
          <w:numId w:val="2"/>
        </w:numPr>
        <w:spacing w:after="90"/>
      </w:pPr>
      <w:r>
        <w:rPr>
          <w:rFonts w:ascii="Calibri" w:cs="Calibri" w:eastAsia="Calibri" w:hAnsi="Calibri"/>
          <w:color w:val="2B2F36"/>
          <w:sz w:val="21"/>
          <w:szCs w:val="21"/>
        </w:rPr>
        <w:t xml:space="preserve">Compliance/accreditation bodies increasingly expect documented verification processes, not just informal checks.</w:t>
      </w:r>
    </w:p>
    <w:p>
      <w:pPr>
        <w:pStyle w:val="Heading1"/>
        <w:pBdr>
          <w:bottom w:val="single" w:color="B8863B" w:sz="12" w:space="4"/>
        </w:pBdr>
        <w:spacing w:after="200" w:before="480"/>
      </w:pPr>
      <w:r>
        <w:rPr>
          <w:rFonts w:ascii="Calibri" w:cs="Calibri" w:eastAsia="Calibri" w:hAnsi="Calibri"/>
          <w:b/>
          <w:bCs/>
          <w:color w:val="1F2A44"/>
          <w:sz w:val="30"/>
          <w:szCs w:val="30"/>
        </w:rPr>
        <w:t xml:space="preserve">10. Buying Triggers &amp;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Buying Triggers</w:t>
            </w:r>
          </w:p>
        </w:tc>
        <w:tc>
          <w:tcPr>
            <w:tcW w:type="dxa" w:w="468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Likely Objections</w:t>
            </w:r>
          </w:p>
        </w:tc>
      </w:tr>
      <w:tr>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Recent fraud incident at their institution or a peer institution</w:t>
            </w:r>
          </w:p>
        </w:tc>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"How accurate is the AI, really? What's your false-positive rate?"</w:t>
            </w:r>
          </w:p>
        </w:tc>
      </w:tr>
      <w:tr>
        <w:tc>
          <w:tcPr>
            <w:tcW w:type="dxa" w:w="468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Upcoming NAAC/NBA accreditation cycle requiring documented process rigor</w:t>
            </w:r>
          </w:p>
        </w:tc>
        <w:tc>
          <w:tcPr>
            <w:tcW w:type="dxa" w:w="468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"Where is our data stored — is it compliant with data protection norms?"</w:t>
            </w:r>
          </w:p>
        </w:tc>
      </w:tr>
      <w:tr>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Scaling admissions/hiring volume beyond manual team capacity</w:t>
            </w:r>
          </w:p>
        </w:tc>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"You're a student project / early-stage — can we trust reliability and support?"</w:t>
            </w:r>
          </w:p>
        </w:tc>
      </w:tr>
      <w:tr>
        <w:tc>
          <w:tcPr>
            <w:tcW w:type="dxa" w:w="468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Competitor or peer institution adopting AI verification first</w:t>
            </w:r>
          </w:p>
        </w:tc>
        <w:tc>
          <w:tcPr>
            <w:tcW w:type="dxa" w:w="468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"What's the cost per check vs. our current in-house/manual cost?"</w:t>
            </w:r>
          </w:p>
        </w:tc>
      </w:tr>
      <w:tr>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Government or board mandate for stronger anti-fraud controls</w:t>
            </w:r>
          </w:p>
        </w:tc>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"Will this integrate with our existing ERP/ATS without heavy IT work?"</w:t>
            </w:r>
          </w:p>
        </w:tc>
      </w:tr>
    </w:tbl>
    <w:p>
      <w:r>
        <w:br w:type="page"/>
      </w:r>
    </w:p>
    <w:p>
      <w:pPr>
        <w:pStyle w:val="Heading1"/>
        <w:pBdr>
          <w:bottom w:val="single" w:color="B8863B" w:sz="12" w:space="4"/>
        </w:pBdr>
        <w:spacing w:after="200" w:before="480"/>
      </w:pPr>
      <w:r>
        <w:rPr>
          <w:rFonts w:ascii="Calibri" w:cs="Calibri" w:eastAsia="Calibri" w:hAnsi="Calibri"/>
          <w:b/>
          <w:bCs/>
          <w:color w:val="1F2A44"/>
          <w:sz w:val="30"/>
          <w:szCs w:val="30"/>
        </w:rPr>
        <w:t xml:space="preserve">11. Customer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500"/>
        <w:gridCol w:w="4060"/>
      </w:tblGrid>
      <w:tr>
        <w:trPr>
          <w:tblHeader/>
        </w:trPr>
        <w:tc>
          <w:tcPr>
            <w:tcW w:type="dxa" w:w="180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Stage</w:t>
            </w:r>
          </w:p>
        </w:tc>
        <w:tc>
          <w:tcPr>
            <w:tcW w:type="dxa" w:w="350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Buyer Activity</w:t>
            </w:r>
          </w:p>
        </w:tc>
        <w:tc>
          <w:tcPr>
            <w:tcW w:type="dxa" w:w="406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CertiGuard AI's Role</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1. Awareness</w:t>
            </w:r>
          </w:p>
        </w:tc>
        <w:tc>
          <w:tcPr>
            <w:tcW w:type="dxa" w:w="3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Hears about certificate fraud risk via news, peer institution, or internal incident</w:t>
            </w:r>
          </w:p>
        </w:tc>
        <w:tc>
          <w:tcPr>
            <w:tcW w:type="dxa" w:w="40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Content/case studies on fraud trends in Indian education &amp; hiring; SEO, LinkedIn outreach to registrars/HR heads</w:t>
            </w:r>
          </w:p>
        </w:tc>
      </w:tr>
      <w:tr>
        <w:tc>
          <w:tcPr>
            <w:tcW w:type="dxa" w:w="18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2. Consideration</w:t>
            </w:r>
          </w:p>
        </w:tc>
        <w:tc>
          <w:tcPr>
            <w:tcW w:type="dxa" w:w="35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Compares manual process cost vs. automated tools; researches vendors</w:t>
            </w:r>
          </w:p>
        </w:tc>
        <w:tc>
          <w:tcPr>
            <w:tcW w:type="dxa" w:w="40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Clear comparison messaging vs. manual verification and BPO vendors; transparent accuracy/turnaround claims</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3. Evaluation / Pilot</w:t>
            </w:r>
          </w:p>
        </w:tc>
        <w:tc>
          <w:tcPr>
            <w:tcW w:type="dxa" w:w="3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Requests a trial with a sample batch of real or anonymized certificates</w:t>
            </w:r>
          </w:p>
        </w:tc>
        <w:tc>
          <w:tcPr>
            <w:tcW w:type="dxa" w:w="40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Fast, white-glove pilot: upload batch, receive fraud-risk report within hours, dedicated support</w:t>
            </w:r>
          </w:p>
        </w:tc>
      </w:tr>
      <w:tr>
        <w:tc>
          <w:tcPr>
            <w:tcW w:type="dxa" w:w="18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4. Purchase</w:t>
            </w:r>
          </w:p>
        </w:tc>
        <w:tc>
          <w:tcPr>
            <w:tcW w:type="dxa" w:w="35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Internal approval (Dean/CHRO sign-off), procurement/security review</w:t>
            </w:r>
          </w:p>
        </w:tc>
        <w:tc>
          <w:tcPr>
            <w:tcW w:type="dxa" w:w="40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Simple pricing (per-check or per-seat), data-handling documentation, basic SLA</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5. Onboarding</w:t>
            </w:r>
          </w:p>
        </w:tc>
        <w:tc>
          <w:tcPr>
            <w:tcW w:type="dxa" w:w="3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Integrates into admissions/ATS workflow or uses standalone portal</w:t>
            </w:r>
          </w:p>
        </w:tc>
        <w:tc>
          <w:tcPr>
            <w:tcW w:type="dxa" w:w="40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Guided onboarding, API docs, minimal IT lift</w:t>
            </w:r>
          </w:p>
        </w:tc>
      </w:tr>
      <w:tr>
        <w:tc>
          <w:tcPr>
            <w:tcW w:type="dxa" w:w="18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6. Retention/Expansion</w:t>
            </w:r>
          </w:p>
        </w:tc>
        <w:tc>
          <w:tcPr>
            <w:tcW w:type="dxa" w:w="35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Renews annually; expands to more departments/branches</w:t>
            </w:r>
          </w:p>
        </w:tc>
        <w:tc>
          <w:tcPr>
            <w:tcW w:type="dxa" w:w="40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Usage dashboards, accuracy reporting, upsell to bulk/API/enterprise tier</w:t>
            </w:r>
          </w:p>
        </w:tc>
      </w:tr>
    </w:tbl>
    <w:p>
      <w:r>
        <w:br w:type="page"/>
      </w:r>
    </w:p>
    <w:p>
      <w:pPr>
        <w:pStyle w:val="Heading1"/>
        <w:pBdr>
          <w:bottom w:val="single" w:color="B8863B" w:sz="12" w:space="4"/>
        </w:pBdr>
        <w:spacing w:after="200" w:before="480"/>
      </w:pPr>
      <w:r>
        <w:rPr>
          <w:rFonts w:ascii="Calibri" w:cs="Calibri" w:eastAsia="Calibri" w:hAnsi="Calibri"/>
          <w:b/>
          <w:bCs/>
          <w:color w:val="1F2A44"/>
          <w:sz w:val="30"/>
          <w:szCs w:val="30"/>
        </w:rPr>
        <w:t xml:space="preserve">12.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400"/>
        <w:gridCol w:w="1300"/>
        <w:gridCol w:w="1200"/>
        <w:gridCol w:w="2860"/>
      </w:tblGrid>
      <w:tr>
        <w:trPr>
          <w:tblHeader/>
        </w:trPr>
        <w:tc>
          <w:tcPr>
            <w:tcW w:type="dxa" w:w="260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Risk</w:t>
            </w:r>
          </w:p>
        </w:tc>
        <w:tc>
          <w:tcPr>
            <w:tcW w:type="dxa" w:w="140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Category</w:t>
            </w:r>
          </w:p>
        </w:tc>
        <w:tc>
          <w:tcPr>
            <w:tcW w:type="dxa" w:w="130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Likelihood</w:t>
            </w:r>
          </w:p>
        </w:tc>
        <w:tc>
          <w:tcPr>
            <w:tcW w:type="dxa" w:w="120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Impact</w:t>
            </w:r>
          </w:p>
        </w:tc>
        <w:tc>
          <w:tcPr>
            <w:tcW w:type="dxa" w:w="286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Mitigation</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False positives/negatives damage trust in a compliance-sensitive use case</w:t>
            </w:r>
          </w:p>
        </w:tc>
        <w:tc>
          <w:tcPr>
            <w:tcW w:type="dxa" w:w="1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Product/Technical</w:t>
            </w:r>
          </w:p>
        </w:tc>
        <w:tc>
          <w:tcPr>
            <w:tcW w:type="dxa" w:w="1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Medium</w:t>
            </w:r>
          </w:p>
        </w:tc>
        <w:tc>
          <w:tcPr>
            <w:tcW w:type="dxa" w:w="1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High</w:t>
            </w:r>
          </w:p>
        </w:tc>
        <w:tc>
          <w:tcPr>
            <w:tcW w:type="dxa" w:w="28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Publish accuracy benchmarks; keep a human-in-the-loop review step for flagged cases rather than fully automated rejection</w:t>
            </w:r>
          </w:p>
        </w:tc>
      </w:tr>
      <w:tr>
        <w:tc>
          <w:tcPr>
            <w:tcW w:type="dxa" w:w="26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Long institutional sales cycles (budget cycles, committee approvals)</w:t>
            </w:r>
          </w:p>
        </w:tc>
        <w:tc>
          <w:tcPr>
            <w:tcW w:type="dxa" w:w="14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Go-to-Market</w:t>
            </w:r>
          </w:p>
        </w:tc>
        <w:tc>
          <w:tcPr>
            <w:tcW w:type="dxa" w:w="13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High</w:t>
            </w:r>
          </w:p>
        </w:tc>
        <w:tc>
          <w:tcPr>
            <w:tcW w:type="dxa" w:w="12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Medium</w:t>
            </w:r>
          </w:p>
        </w:tc>
        <w:tc>
          <w:tcPr>
            <w:tcW w:type="dxa" w:w="28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Target recruitment agencies and smaller institutes first (faster decision-making) before large universities</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Data privacy / student &amp; candidate data handling concerns</w:t>
            </w:r>
          </w:p>
        </w:tc>
        <w:tc>
          <w:tcPr>
            <w:tcW w:type="dxa" w:w="1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Legal/Compliance</w:t>
            </w:r>
          </w:p>
        </w:tc>
        <w:tc>
          <w:tcPr>
            <w:tcW w:type="dxa" w:w="1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Medium</w:t>
            </w:r>
          </w:p>
        </w:tc>
        <w:tc>
          <w:tcPr>
            <w:tcW w:type="dxa" w:w="1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High</w:t>
            </w:r>
          </w:p>
        </w:tc>
        <w:tc>
          <w:tcPr>
            <w:tcW w:type="dxa" w:w="28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Clear data-retention policy, encryption, avoid storing raw documents longer than necessary, consider India's DPDP Act compliance from day one</w:t>
            </w:r>
          </w:p>
        </w:tc>
      </w:tr>
      <w:tr>
        <w:tc>
          <w:tcPr>
            <w:tcW w:type="dxa" w:w="26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Founder is a full-time student — limited bandwidth for sales/support</w:t>
            </w:r>
          </w:p>
        </w:tc>
        <w:tc>
          <w:tcPr>
            <w:tcW w:type="dxa" w:w="14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Team/Execution</w:t>
            </w:r>
          </w:p>
        </w:tc>
        <w:tc>
          <w:tcPr>
            <w:tcW w:type="dxa" w:w="13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High</w:t>
            </w:r>
          </w:p>
        </w:tc>
        <w:tc>
          <w:tcPr>
            <w:tcW w:type="dxa" w:w="12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Medium</w:t>
            </w:r>
          </w:p>
        </w:tc>
        <w:tc>
          <w:tcPr>
            <w:tcW w:type="dxa" w:w="28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Start with a narrow pilot scope; consider a co-founder or advisor for GTM; use academic breaks strategically</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Government/DigiLocker expansion reduces addressable legacy-document market over time</w:t>
            </w:r>
          </w:p>
        </w:tc>
        <w:tc>
          <w:tcPr>
            <w:tcW w:type="dxa" w:w="1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Market/Competitive</w:t>
            </w:r>
          </w:p>
        </w:tc>
        <w:tc>
          <w:tcPr>
            <w:tcW w:type="dxa" w:w="1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Medium</w:t>
            </w:r>
          </w:p>
        </w:tc>
        <w:tc>
          <w:tcPr>
            <w:tcW w:type="dxa" w:w="1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Medium</w:t>
            </w:r>
          </w:p>
        </w:tc>
        <w:tc>
          <w:tcPr>
            <w:tcW w:type="dxa" w:w="28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Position as the layer that also serves non-digitized and international documents; consider partnering rather than competing with government infra long-term</w:t>
            </w:r>
          </w:p>
        </w:tc>
      </w:tr>
      <w:tr>
        <w:tc>
          <w:tcPr>
            <w:tcW w:type="dxa" w:w="26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Liability if verification is wrong and used in a hiring/admissions decision</w:t>
            </w:r>
          </w:p>
        </w:tc>
        <w:tc>
          <w:tcPr>
            <w:tcW w:type="dxa" w:w="14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Legal</w:t>
            </w:r>
          </w:p>
        </w:tc>
        <w:tc>
          <w:tcPr>
            <w:tcW w:type="dxa" w:w="13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Low-Medium</w:t>
            </w:r>
          </w:p>
        </w:tc>
        <w:tc>
          <w:tcPr>
            <w:tcW w:type="dxa" w:w="12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High</w:t>
            </w:r>
          </w:p>
        </w:tc>
        <w:tc>
          <w:tcPr>
            <w:tcW w:type="dxa" w:w="28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Position output as a 'fraud-risk score / flag for review', not a final legal determination; use clear disclaimers and terms of service</w:t>
            </w:r>
          </w:p>
        </w:tc>
      </w:tr>
    </w:tbl>
    <w:p>
      <w:r>
        <w:br w:type="page"/>
      </w:r>
    </w:p>
    <w:p>
      <w:pPr>
        <w:pStyle w:val="Heading1"/>
        <w:pBdr>
          <w:bottom w:val="single" w:color="B8863B" w:sz="12" w:space="4"/>
        </w:pBdr>
        <w:spacing w:after="200" w:before="480"/>
      </w:pPr>
      <w:r>
        <w:rPr>
          <w:rFonts w:ascii="Calibri" w:cs="Calibri" w:eastAsia="Calibri" w:hAnsi="Calibri"/>
          <w:b/>
          <w:bCs/>
          <w:color w:val="1F2A44"/>
          <w:sz w:val="30"/>
          <w:szCs w:val="30"/>
        </w:rPr>
        <w:t xml:space="preserve">13. Pivot Opportunities</w:t>
      </w:r>
    </w:p>
    <w:p>
      <w:pPr>
        <w:pStyle w:val="ListParagraph"/>
        <w:numPr>
          <w:ilvl w:val="0"/>
          <w:numId w:val="2"/>
        </w:numPr>
        <w:spacing w:after="90"/>
      </w:pPr>
      <w:r>
        <w:rPr>
          <w:rFonts w:ascii="Calibri" w:cs="Calibri" w:eastAsia="Calibri" w:hAnsi="Calibri"/>
          <w:color w:val="2B2F36"/>
          <w:sz w:val="21"/>
          <w:szCs w:val="21"/>
        </w:rPr>
        <w:t xml:space="preserve">Vertical focus pivot: specialize first in one segment (e.g., recruitment agencies only, or one state's university network) to shorten sales cycles before going broad.</w:t>
      </w:r>
    </w:p>
    <w:p>
      <w:pPr>
        <w:pStyle w:val="ListParagraph"/>
        <w:numPr>
          <w:ilvl w:val="0"/>
          <w:numId w:val="2"/>
        </w:numPr>
        <w:spacing w:after="90"/>
      </w:pPr>
      <w:r>
        <w:rPr>
          <w:rFonts w:ascii="Calibri" w:cs="Calibri" w:eastAsia="Calibri" w:hAnsi="Calibri"/>
          <w:color w:val="2B2F36"/>
          <w:sz w:val="21"/>
          <w:szCs w:val="21"/>
        </w:rPr>
        <w:t xml:space="preserve">B2B2G pivot: partner with state education boards or NAD/DigiLocker as a forensic-verification layer for legacy documents, rather than competing directly.</w:t>
      </w:r>
    </w:p>
    <w:p>
      <w:pPr>
        <w:pStyle w:val="ListParagraph"/>
        <w:numPr>
          <w:ilvl w:val="0"/>
          <w:numId w:val="2"/>
        </w:numPr>
        <w:spacing w:after="90"/>
      </w:pPr>
      <w:r>
        <w:rPr>
          <w:rFonts w:ascii="Calibri" w:cs="Calibri" w:eastAsia="Calibri" w:hAnsi="Calibri"/>
          <w:color w:val="2B2F36"/>
          <w:sz w:val="21"/>
          <w:szCs w:val="21"/>
        </w:rPr>
        <w:t xml:space="preserve">API-first pivot: sell as an embeddable verification API to existing HRMS/ATS and admissions software vendors, letting them own the end-customer relationship.</w:t>
      </w:r>
    </w:p>
    <w:p>
      <w:pPr>
        <w:pStyle w:val="ListParagraph"/>
        <w:numPr>
          <w:ilvl w:val="0"/>
          <w:numId w:val="2"/>
        </w:numPr>
        <w:spacing w:after="90"/>
      </w:pPr>
      <w:r>
        <w:rPr>
          <w:rFonts w:ascii="Calibri" w:cs="Calibri" w:eastAsia="Calibri" w:hAnsi="Calibri"/>
          <w:color w:val="2B2F36"/>
          <w:sz w:val="21"/>
          <w:szCs w:val="21"/>
        </w:rPr>
        <w:t xml:space="preserve">Adjacent-document pivot: expand beyond certificates to other high-fraud documents (offer letters, experience letters, ID documents) if certificate-only demand proves narrow.</w:t>
      </w:r>
    </w:p>
    <w:p>
      <w:pPr>
        <w:pStyle w:val="ListParagraph"/>
        <w:numPr>
          <w:ilvl w:val="0"/>
          <w:numId w:val="2"/>
        </w:numPr>
        <w:spacing w:after="90"/>
      </w:pPr>
      <w:r>
        <w:rPr>
          <w:rFonts w:ascii="Calibri" w:cs="Calibri" w:eastAsia="Calibri" w:hAnsi="Calibri"/>
          <w:color w:val="2B2F36"/>
          <w:sz w:val="21"/>
          <w:szCs w:val="21"/>
        </w:rPr>
        <w:t xml:space="preserve">Geographic pivot: license or white-label the forensic engine to background-verification companies in other high-fraud-volume markets (e.g., Southeast Asia, Africa) rather than building direct sales everywhere.</w:t>
      </w:r>
    </w:p>
    <w:p>
      <w:r>
        <w:br w:type="page"/>
      </w:r>
    </w:p>
    <w:p>
      <w:pPr>
        <w:pStyle w:val="Heading1"/>
        <w:pBdr>
          <w:bottom w:val="single" w:color="B8863B" w:sz="12" w:space="4"/>
        </w:pBdr>
        <w:spacing w:after="200" w:before="480"/>
      </w:pPr>
      <w:r>
        <w:rPr>
          <w:rFonts w:ascii="Calibri" w:cs="Calibri" w:eastAsia="Calibri" w:hAnsi="Calibri"/>
          <w:b/>
          <w:bCs/>
          <w:color w:val="1F2A44"/>
          <w:sz w:val="30"/>
          <w:szCs w:val="30"/>
        </w:rPr>
        <w:t xml:space="preserve">14. Go / No-Go Recommendation</w:t>
      </w:r>
    </w:p>
    <w:p>
      <w:pPr>
        <w:spacing w:after="200" w:before="100"/>
      </w:pPr>
      <w:r>
        <w:rPr>
          <w:rFonts w:ascii="Calibri" w:cs="Calibri" w:eastAsia="Calibri" w:hAnsi="Calibri"/>
          <w:b/>
          <w:bCs/>
          <w:color w:val="1E7A46"/>
          <w:sz w:val="32"/>
          <w:szCs w:val="32"/>
        </w:rPr>
        <w:t xml:space="preserve">CONDITIONAL GO</w:t>
      </w:r>
    </w:p>
    <w:p>
      <w:pPr>
        <w:spacing w:after="160" w:line="276"/>
      </w:pPr>
      <w:r>
        <w:rPr>
          <w:rFonts w:ascii="Calibri" w:cs="Calibri" w:eastAsia="Calibri" w:hAnsi="Calibri"/>
          <w:color w:val="2B2F36"/>
          <w:sz w:val="21"/>
          <w:szCs w:val="21"/>
        </w:rPr>
        <w:t xml:space="preserve">The problem is real and well-known, the founder has strong technical fit, and there is a genuine, underserved gap in AI-based forensic verification of legacy (non-digitally-issued) certificates in India. However, the venture does not yet have paying-customer or pilot-level validation, which is the single biggest open risk.</w:t>
      </w:r>
    </w:p>
    <w:p>
      <w:pPr>
        <w:spacing w:after="160" w:line="276"/>
      </w:pPr>
      <w:r>
        <w:rPr>
          <w:rFonts w:ascii="Calibri" w:cs="Calibri" w:eastAsia="Calibri" w:hAnsi="Calibri"/>
          <w:color w:val="2B2F36"/>
          <w:sz w:val="21"/>
          <w:szCs w:val="21"/>
        </w:rPr>
        <w:t xml:space="preserve">This is conditional, not unconditional, because the recommendation to proceed depends on completing real-world validation (Section 15) within the next 30–60 days. If pilot institutions show low interest, poor accuracy on real-world messy documents, or unacceptably long sales cycles, the venture should pivot (Section 13) rather than push forward on the current plan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80"/>
        <w:gridCol w:w="3680"/>
      </w:tblGrid>
      <w:tr>
        <w:trPr>
          <w:tblHeader/>
        </w:trPr>
        <w:tc>
          <w:tcPr>
            <w:tcW w:type="dxa" w:w="568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Condition for continued 'Go'</w:t>
            </w:r>
          </w:p>
        </w:tc>
        <w:tc>
          <w:tcPr>
            <w:tcW w:type="dxa" w:w="368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Target</w:t>
            </w:r>
          </w:p>
        </w:tc>
      </w:tr>
      <w:tr>
        <w:tc>
          <w:tcPr>
            <w:tcW w:type="dxa" w:w="5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Pilot institutions/agencies engaged</w:t>
            </w:r>
          </w:p>
        </w:tc>
        <w:tc>
          <w:tcPr>
            <w:tcW w:type="dxa" w:w="3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 3 organizations providing real/anonymized certificate samples</w:t>
            </w:r>
          </w:p>
        </w:tc>
      </w:tr>
      <w:tr>
        <w:tc>
          <w:tcPr>
            <w:tcW w:type="dxa" w:w="568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Detection accuracy on real-world (non-lab) documents</w:t>
            </w:r>
          </w:p>
        </w:tc>
        <w:tc>
          <w:tcPr>
            <w:tcW w:type="dxa" w:w="368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 90% on a test batch of known genuine + known forged samples</w:t>
            </w:r>
          </w:p>
        </w:tc>
      </w:tr>
      <w:tr>
        <w:tc>
          <w:tcPr>
            <w:tcW w:type="dxa" w:w="5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Willingness-to-pay signal</w:t>
            </w:r>
          </w:p>
        </w:tc>
        <w:tc>
          <w:tcPr>
            <w:tcW w:type="dxa" w:w="3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At least 1 organization indicating budget interest or LOI</w:t>
            </w:r>
          </w:p>
        </w:tc>
      </w:tr>
      <w:tr>
        <w:tc>
          <w:tcPr>
            <w:tcW w:type="dxa" w:w="568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Turnaround time demonstrated</w:t>
            </w:r>
          </w:p>
        </w:tc>
        <w:tc>
          <w:tcPr>
            <w:tcW w:type="dxa" w:w="368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Under 5 minutes per verification at pilot scale</w:t>
            </w:r>
          </w:p>
        </w:tc>
      </w:tr>
    </w:tbl>
    <w:p>
      <w:r>
        <w:br w:type="page"/>
      </w:r>
    </w:p>
    <w:p>
      <w:pPr>
        <w:pStyle w:val="Heading1"/>
        <w:pBdr>
          <w:bottom w:val="single" w:color="B8863B" w:sz="12" w:space="4"/>
        </w:pBdr>
        <w:spacing w:after="200" w:before="480"/>
      </w:pPr>
      <w:r>
        <w:rPr>
          <w:rFonts w:ascii="Calibri" w:cs="Calibri" w:eastAsia="Calibri" w:hAnsi="Calibri"/>
          <w:b/>
          <w:bCs/>
          <w:color w:val="1F2A44"/>
          <w:sz w:val="30"/>
          <w:szCs w:val="30"/>
        </w:rPr>
        <w:t xml:space="preserve">15. 30-Day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600"/>
        <w:gridCol w:w="5560"/>
      </w:tblGrid>
      <w:tr>
        <w:trPr>
          <w:tblHeader/>
        </w:trPr>
        <w:tc>
          <w:tcPr>
            <w:tcW w:type="dxa" w:w="120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Week</w:t>
            </w:r>
          </w:p>
        </w:tc>
        <w:tc>
          <w:tcPr>
            <w:tcW w:type="dxa" w:w="260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Focus</w:t>
            </w:r>
          </w:p>
        </w:tc>
        <w:tc>
          <w:tcPr>
            <w:tcW w:type="dxa" w:w="5560"/>
            <w:shd w:fill="1F2A4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Key Actions</w:t>
            </w:r>
          </w:p>
        </w:tc>
      </w:tr>
      <w:tr>
        <w:tc>
          <w:tcPr>
            <w:tcW w:type="dxa" w:w="1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Week 1</w:t>
            </w:r>
          </w:p>
        </w:tc>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Problem &amp; customer discovery</w:t>
            </w:r>
          </w:p>
        </w:tc>
        <w:tc>
          <w:tcPr>
            <w:tcW w:type="dxa" w:w="55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Conduct 15–20 short interviews with registrars, HR/TA leads, and recruitment agencies; document pain points and willingness-to-pay signals; identify 5–10 target pilot organizations</w:t>
            </w:r>
          </w:p>
        </w:tc>
      </w:tr>
      <w:tr>
        <w:tc>
          <w:tcPr>
            <w:tcW w:type="dxa" w:w="12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Week 2</w:t>
            </w:r>
          </w:p>
        </w:tc>
        <w:tc>
          <w:tcPr>
            <w:tcW w:type="dxa" w:w="26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Pilot outreach &amp; data prep</w:t>
            </w:r>
          </w:p>
        </w:tc>
        <w:tc>
          <w:tcPr>
            <w:tcW w:type="dxa" w:w="55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Reach out to shortlisted institutions/agencies with a simple 1-page pilot proposal; collect anonymized sample certificates (genuine + known-forged if available) to stress-test the model</w:t>
            </w:r>
          </w:p>
        </w:tc>
      </w:tr>
      <w:tr>
        <w:tc>
          <w:tcPr>
            <w:tcW w:type="dxa" w:w="1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Week 3</w:t>
            </w:r>
          </w:p>
        </w:tc>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Pilot execution</w:t>
            </w:r>
          </w:p>
        </w:tc>
        <w:tc>
          <w:tcPr>
            <w:tcW w:type="dxa" w:w="55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Run 2–3 pilots: process real/anonymized document batches, measure accuracy, false-positive rate, and turnaround time; gather structured feedback from each pilot contact</w:t>
            </w:r>
          </w:p>
        </w:tc>
      </w:tr>
      <w:tr>
        <w:tc>
          <w:tcPr>
            <w:tcW w:type="dxa" w:w="12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Week 4</w:t>
            </w:r>
          </w:p>
        </w:tc>
        <w:tc>
          <w:tcPr>
            <w:tcW w:type="dxa" w:w="26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Synthesis &amp; next-stage plan</w:t>
            </w:r>
          </w:p>
        </w:tc>
        <w:tc>
          <w:tcPr>
            <w:tcW w:type="dxa" w:w="55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2B2F36"/>
                <w:sz w:val="20"/>
                <w:szCs w:val="20"/>
              </w:rPr>
              <w:t xml:space="preserve">Compile pilot results into a short case-study/one-pager; refine pricing model (per-check vs. per-seat); decide Go/Pivot/No-Go on current plan; if Go, prepare a lightweight landing page + outreach list for next 90 days</w:t>
            </w:r>
          </w:p>
        </w:tc>
      </w:tr>
    </w:tbl>
    <w:p>
      <w:pPr>
        <w:spacing w:after="100" w:before="260"/>
      </w:pPr>
    </w:p>
    <w:p>
      <w:pPr>
        <w:pStyle w:val="Heading2"/>
        <w:spacing w:after="140" w:before="320"/>
      </w:pPr>
      <w:r>
        <w:rPr>
          <w:rFonts w:ascii="Calibri" w:cs="Calibri" w:eastAsia="Calibri" w:hAnsi="Calibri"/>
          <w:b/>
          <w:bCs/>
          <w:color w:val="1F2A44"/>
          <w:sz w:val="24"/>
          <w:szCs w:val="24"/>
        </w:rPr>
        <w:t xml:space="preserve">Immediate next 3 steps</w:t>
      </w:r>
    </w:p>
    <w:p>
      <w:pPr>
        <w:pStyle w:val="ListParagraph"/>
        <w:numPr>
          <w:ilvl w:val="0"/>
          <w:numId w:val="2"/>
        </w:numPr>
        <w:spacing w:after="90"/>
      </w:pPr>
      <w:r>
        <w:rPr>
          <w:rFonts w:ascii="Calibri" w:cs="Calibri" w:eastAsia="Calibri" w:hAnsi="Calibri"/>
          <w:color w:val="2B2F36"/>
          <w:sz w:val="21"/>
          <w:szCs w:val="21"/>
        </w:rPr>
        <w:t xml:space="preserve">Draft and send a 1-page pilot proposal to 10 target institutions/agencies this week.</w:t>
      </w:r>
    </w:p>
    <w:p>
      <w:pPr>
        <w:pStyle w:val="ListParagraph"/>
        <w:numPr>
          <w:ilvl w:val="0"/>
          <w:numId w:val="2"/>
        </w:numPr>
        <w:spacing w:after="90"/>
      </w:pPr>
      <w:r>
        <w:rPr>
          <w:rFonts w:ascii="Calibri" w:cs="Calibri" w:eastAsia="Calibri" w:hAnsi="Calibri"/>
          <w:color w:val="2B2F36"/>
          <w:sz w:val="21"/>
          <w:szCs w:val="21"/>
        </w:rPr>
        <w:t xml:space="preserve">Build a small test set of known-genuine and known-forged certificates to benchmark model accuracy objectively.</w:t>
      </w:r>
    </w:p>
    <w:p>
      <w:pPr>
        <w:pStyle w:val="ListParagraph"/>
        <w:numPr>
          <w:ilvl w:val="0"/>
          <w:numId w:val="2"/>
        </w:numPr>
        <w:spacing w:after="90"/>
      </w:pPr>
      <w:r>
        <w:rPr>
          <w:rFonts w:ascii="Calibri" w:cs="Calibri" w:eastAsia="Calibri" w:hAnsi="Calibri"/>
          <w:color w:val="2B2F36"/>
          <w:sz w:val="21"/>
          <w:szCs w:val="21"/>
        </w:rPr>
        <w:t xml:space="preserve">Identify one advisor or mentor with admissions, HR-tech, or compliance experience to strengthen founder-market fit on the go-to-market side.</w:t>
      </w:r>
    </w:p>
    <w:p>
      <w:pPr>
        <w:spacing w:before="400"/>
      </w:pPr>
    </w:p>
    <w:p>
      <w:pPr>
        <w:pBdr>
          <w:bottom w:val="single" w:color="D0D5DD" w:sz="6" w:space="1"/>
        </w:pBdr>
        <w:spacing w:after="200" w:before="100"/>
      </w:pPr>
    </w:p>
    <w:p>
      <w:pPr>
        <w:spacing w:after="160" w:line="276"/>
      </w:pPr>
      <w:r>
        <w:rPr>
          <w:rFonts w:ascii="Calibri" w:cs="Calibri" w:eastAsia="Calibri" w:hAnsi="Calibri"/>
          <w:i/>
          <w:iCs/>
          <w:color w:val="5B6472"/>
          <w:sz w:val="18"/>
          <w:szCs w:val="18"/>
        </w:rPr>
        <w:t xml:space="preserve">This report is a strategic diligence aid based on the information provided by the founder and general market knowledge; TAM/SAM/SOM and market figures are directional estimates, not audited data, and should be refined with primary research as pilots progress.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6"/>
        <w:szCs w:val="16"/>
      </w:rPr>
      <w:t xml:space="preserve">Confidential — Prepared for Founder Review  |  Page </w:t>
    </w:r>
    <w:r>
      <w:rPr>
        <w:rFonts w:ascii="Calibri" w:cs="Calibri" w:eastAsia="Calibri" w:hAnsi="Calibri"/>
        <w:color w:val="5B6472"/>
        <w:sz w:val="16"/>
        <w:szCs w:val="16"/>
      </w:rPr>
      <w:fldChar w:fldCharType="begin"/>
      <w:instrText xml:space="preserve">PAGE</w:instrText>
      <w:fldChar w:fldCharType="separate"/>
      <w:fldChar w:fldCharType="end"/>
    </w:r>
    <w:r>
      <w:rPr>
        <w:rFonts w:ascii="Calibri" w:cs="Calibri" w:eastAsia="Calibri" w:hAnsi="Calibri"/>
        <w:color w:val="5B6472"/>
        <w:sz w:val="16"/>
        <w:szCs w:val="16"/>
      </w:rPr>
      <w:t xml:space="preserve"> of </w:t>
    </w:r>
    <w:r>
      <w:rPr>
        <w:rFonts w:ascii="Calibri" w:cs="Calibri" w:eastAsia="Calibri" w:hAnsi="Calibri"/>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jc w:val="right"/>
    </w:pPr>
    <w:r>
      <w:rPr>
        <w:rFonts w:ascii="Calibri" w:cs="Calibri" w:eastAsia="Calibri" w:hAnsi="Calibri"/>
        <w:color w:val="5B6472"/>
        <w:sz w:val="16"/>
        <w:szCs w:val="16"/>
      </w:rPr>
      <w:t xml:space="preserve">CertiGuard AI  |  Startup Validation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2026-07-20T13:36:12.139Z</dcterms:created>
  <dcterms:modified xsi:type="dcterms:W3CDTF">2026-07-20T13:36:12.151Z</dcterms:modified>
</cp:coreProperties>
</file>

<file path=docProps/custom.xml><?xml version="1.0" encoding="utf-8"?>
<Properties xmlns="http://schemas.openxmlformats.org/officeDocument/2006/custom-properties" xmlns:vt="http://schemas.openxmlformats.org/officeDocument/2006/docPropsVTypes"/>
</file>