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color w:val="1F3B5C"/>
          <w:sz w:val="40"/>
        </w:rPr>
        <w:t>The Hidden Cost of Orchestration: A Sustainability-Aware QoS Evaluation Framework (SAQEF)</w:t>
      </w:r>
    </w:p>
    <w:p>
      <w:pPr>
        <w:spacing w:after="120"/>
      </w:pPr>
      <w:r>
        <w:rPr>
          <w:b/>
          <w:i w:val="0"/>
          <w:sz w:val="26"/>
        </w:rPr>
        <w:t>Milestone 1 — Methodology validated on Fn</w:t>
      </w:r>
    </w:p>
    <w:p>
      <w:pPr>
        <w:spacing w:after="120"/>
      </w:pPr>
      <w:r>
        <w:rPr>
          <w:b w:val="0"/>
          <w:i/>
          <w:color w:val="666666"/>
          <w:sz w:val="18"/>
        </w:rPr>
        <w:t>Working title — Paper Draft (v0.1). Author: [Name], Green Cloud Continuum project. Date: 2026-08-04. Status: methodology validated on one platform (Fn); draft for refinement into the final research paper.</w:t>
      </w:r>
    </w:p>
    <w:p>
      <w:pPr>
        <w:spacing w:after="120"/>
      </w:pPr>
      <w:r>
        <w:rPr>
          <w:b w:val="0"/>
          <w:i/>
          <w:color w:val="666666"/>
          <w:sz w:val="18"/>
        </w:rPr>
        <w:t>Source of record: SAQEF_TECHNICAL_REPORT.md (full measurement log) + saqef_harness.py (instrumentation) + run_saqef.sh (one-command reproduction). Sections marked [CANDID] are honest gaps that must be closed before submission; they are intentional, not omissions.</w:t>
      </w:r>
    </w:p>
    <w:p>
      <w:pPr>
        <w:pStyle w:val="Heading1"/>
      </w:pPr>
      <w:r>
        <w:t>Abstract</w:t>
      </w:r>
    </w:p>
    <w:p>
      <w:pPr>
        <w:spacing w:after="120"/>
      </w:pPr>
      <w:r>
        <w:rPr>
          <w:b w:val="0"/>
          <w:i w:val="0"/>
        </w:rPr>
        <w:t>Serverless computing shifts infrastructure management to platform operators, but the orchestration overhead — the control-plane work that schedules, freezes, and coordinates function invocations — is rarely charged to the function. This paper presents SAQEF, a sustainability-aware QoS evaluation framework that attributes CPU time and energy to the control plane versus the function under controlled load, cross-validated against direct kernel counters. On the Fn platform, we find the control plane consumes 30.3% of the dynamic (non-idle) CPU/energy while serving a CPU-bound 5 ms function at ~206 requests/second — a small fraction of total machine energy (1.9%) but a dominant fraction of the marginal cost that scales with load. The framework's built-in delta-check caught and eliminated a 52x sampling overcount during development, demonstrating that the validation approach works as intended. Methodology is validated; absolute energy numbers remain model estimates pending RAPL ground truth on bare metal.</w:t>
      </w:r>
    </w:p>
    <w:p>
      <w:pPr>
        <w:pStyle w:val="Heading1"/>
      </w:pPr>
      <w:r>
        <w:t>1. Introduction &amp; Motivation</w:t>
      </w:r>
    </w:p>
    <w:p>
      <w:pPr>
        <w:spacing w:after="120"/>
      </w:pPr>
      <w:r>
        <w:rPr>
          <w:b w:val="0"/>
          <w:i w:val="0"/>
        </w:rPr>
        <w:t>Serverless (FaaS) platforms promise scale-to-zero, pay-per-invocation pricing, and operational simplicity. Their environmental cost is hidden in two places: (i) the idle baseline of always-on gateways, schedulers, and coordinators, and (ii) the dynamic overhead of orchestrating each invocation — route lookups, container spawn/freeze churn, queueing, and watchers. When operators report "the control plane uses ~2% of CPU," they describe the static fraction of total machine capacity — which, on an idle-leaning, co-tenanted VM, obscures the fact that the marginal work attributable to a function is disproportionately orchestration.</w:t>
      </w:r>
    </w:p>
    <w:p>
      <w:pPr>
        <w:spacing w:after="120"/>
      </w:pPr>
      <w:r>
        <w:rPr>
          <w:b/>
          <w:i w:val="0"/>
        </w:rPr>
        <w:t>Central claim: for a light CPU-bound function, the control plane is not a rounding error — it is roughly one third of the marginal (dynamic) energy cost. This changes how serverless energy must be modeled: orchestration is a first-class cost, not an overhead line item.</w:t>
      </w:r>
    </w:p>
    <w:p>
      <w:pPr>
        <w:spacing w:after="120"/>
      </w:pPr>
      <w:r>
        <w:rPr>
          <w:b/>
          <w:i w:val="0"/>
        </w:rPr>
        <w:t>Contributions:</w:t>
      </w:r>
    </w:p>
    <w:p>
      <w:pPr>
        <w:pStyle w:val="ListBullet"/>
        <w:spacing w:after="40"/>
      </w:pPr>
      <w:r>
        <w:t>A reproducible, platform-agnostic measurement harness (saqef_harness.py) that attributes CPU/energy between control plane and function under controlled load, with built-in self-validation.</w:t>
      </w:r>
    </w:p>
    <w:p>
      <w:pPr>
        <w:pStyle w:val="ListBullet"/>
        <w:spacing w:after="40"/>
      </w:pPr>
      <w:r>
        <w:t>A workload-anchored methodology that fixes the "ratio of tiny quantities" instability that plagues no-op-workload energy comparisons.</w:t>
      </w:r>
    </w:p>
    <w:p>
      <w:pPr>
        <w:pStyle w:val="ListBullet"/>
        <w:spacing w:after="40"/>
      </w:pPr>
      <w:r>
        <w:t>The first validated Fn control-plane overhead numbers (30.3% of dynamic energy at 206 rps, 5 ms function).</w:t>
      </w:r>
    </w:p>
    <w:p>
      <w:pPr>
        <w:pStyle w:val="ListBullet"/>
        <w:spacing w:after="40"/>
      </w:pPr>
      <w:r>
        <w:t>A documented case study of the validation method catching a real 52x instrumentation bug (Sec. 8).</w:t>
      </w:r>
    </w:p>
    <w:p>
      <w:pPr>
        <w:pStyle w:val="Heading1"/>
      </w:pPr>
      <w:r>
        <w:t>2. Background &amp; Related Work</w:t>
      </w:r>
    </w:p>
    <w:p>
      <w:pPr>
        <w:pStyle w:val="ListBullet"/>
        <w:spacing w:after="40"/>
      </w:pPr>
      <w:r>
        <w:t>FaasMeter (Fan et al., IC2E 2024) — marginal-energy methodology for FaaS using direct energy measurements; the inspiration for our --delta-check and --idle-probe self-validation pattern.</w:t>
      </w:r>
    </w:p>
    <w:p>
      <w:pPr>
        <w:pStyle w:val="ListBullet"/>
        <w:spacing w:after="40"/>
      </w:pPr>
      <w:r>
        <w:t>Kepler / eBPF — CPU-time-proportional energy estimation using kernel counters; the model family our CPU-time attribution follows.</w:t>
      </w:r>
    </w:p>
    <w:p>
      <w:pPr>
        <w:pStyle w:val="ListBullet"/>
        <w:spacing w:after="40"/>
      </w:pPr>
      <w:r>
        <w:t>Caribou (SOSP 2024) — fine-grained multicore energy; source of the per-core power constant (3.5 W/busy core, dynamic portion) used in our model.</w:t>
      </w:r>
    </w:p>
    <w:p>
      <w:pPr>
        <w:pStyle w:val="ListBullet"/>
        <w:spacing w:after="40"/>
      </w:pPr>
      <w:r>
        <w:t>Serverless overhead studies (Wang et al., "Peeking Behind the Curtains of Serverless Platforms"; Shahrad et al. on idle resources) — document that orchestration and cold starts consume significant resources; we contribute measured marginal energy for the Fn control plane specifically.</w:t>
      </w:r>
    </w:p>
    <w:p>
      <w:pPr>
        <w:pStyle w:val="ListBullet"/>
        <w:spacing w:after="40"/>
      </w:pPr>
      <w:r>
        <w:t>DockerStats / cgroup v2 — per-container CPU accounting; our primary sensor, validated against direct cpu.stat cumulative counters.</w:t>
      </w:r>
    </w:p>
    <w:p>
      <w:pPr>
        <w:spacing w:after="120"/>
      </w:pPr>
      <w:r>
        <w:rPr>
          <w:b w:val="0"/>
          <w:i w:val="0"/>
        </w:rPr>
        <w:t>The gap we target: most prior work reports QoS (latency/throughput) and/or aggregate energy, but rarely attributes energy between the control plane and the function with an independent validity check.</w:t>
      </w:r>
    </w:p>
    <w:p>
      <w:pPr>
        <w:pStyle w:val="Heading1"/>
      </w:pPr>
      <w:r>
        <w:t>3. Research Questions</w:t>
      </w:r>
    </w:p>
    <w:p>
      <w:pPr>
        <w:pStyle w:val="ListBullet"/>
        <w:spacing w:after="40"/>
      </w:pPr>
      <w:r>
        <w:t>RQ1 (methodology): Can container-level sampling attribute marginal CPU/energy to the control plane vs the function with a verifiable error bound?</w:t>
      </w:r>
    </w:p>
    <w:p>
      <w:pPr>
        <w:pStyle w:val="ListBullet"/>
        <w:spacing w:after="40"/>
      </w:pPr>
      <w:r>
        <w:t>RQ2 (measurement): What fraction of dynamic CPU/energy does the Fn control plane consume for a CPU-bound function under a realistic load?</w:t>
      </w:r>
    </w:p>
    <w:p>
      <w:pPr>
        <w:pStyle w:val="ListBullet"/>
        <w:spacing w:after="40"/>
      </w:pPr>
      <w:r>
        <w:t>RQ3 (comparison, future): Does the framework discriminate between platforms (Fn vs OpenFaaS vs OpenWhisk) — i.e., is orchestration overhead platform-specific enough to rank?</w:t>
      </w:r>
    </w:p>
    <w:p>
      <w:pPr>
        <w:pStyle w:val="Heading1"/>
      </w:pPr>
      <w:r>
        <w:t>4. Methodology</w:t>
      </w:r>
    </w:p>
    <w:p>
      <w:pPr>
        <w:pStyle w:val="Heading2"/>
      </w:pPr>
      <w:r>
        <w:t>4.1 Design overview</w:t>
      </w:r>
    </w:p>
    <w:p>
      <w:pPr>
        <w:spacing w:after="120"/>
      </w:pPr>
      <w:r>
        <w:rPr>
          <w:b w:val="0"/>
          <w:i w:val="0"/>
        </w:rPr>
        <w:t>A single measurement window synchronizes: (a) QoS load generation, (b) per-container CPU sampling, and (c) pre/post direct-counter reads for validation. The window is repeated N times; per-run ratios are computed inside each run and then summarized (never reconstructed from independently-medianed components — Sec. 4.6).</w:t>
      </w:r>
    </w:p>
    <w:p>
      <w:pPr>
        <w:spacing w:after="120"/>
      </w:pPr>
      <w:r>
        <w:rPr>
          <w:b w:val="0"/>
          <w:i w:val="0"/>
        </w:rPr>
        <w:t>Two energy scopes are reported, because they answer different questions:</w:t>
      </w:r>
    </w:p>
    <w:p>
      <w:pPr>
        <w:pStyle w:val="ListBullet"/>
        <w:spacing w:after="40"/>
      </w:pPr>
      <w:r>
        <w:t>cp_share_pct = control-plane energy / total machine energy (idle + dynamic). Answers: "how much of the facility cost is orchestration?" (small here: 1.9%).</w:t>
      </w:r>
    </w:p>
    <w:p>
      <w:pPr>
        <w:pStyle w:val="ListBullet"/>
        <w:spacing w:after="40"/>
      </w:pPr>
      <w:r>
        <w:t>cp_dynamic_share_pct = control-plane energy / dynamic (function + control-plane) energy. Answers: "of the marginal work that load creates, how much is orchestration?" (the headline: 30.3%).</w:t>
      </w:r>
    </w:p>
    <w:p>
      <w:pPr>
        <w:pStyle w:val="Heading2"/>
      </w:pPr>
      <w:r>
        <w:t>4.2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Host</w:t>
            </w:r>
          </w:p>
        </w:tc>
        <w:tc>
          <w:tcPr>
            <w:tcW w:type="dxa" w:w="4320"/>
          </w:tcPr>
          <w:p>
            <w:r>
              <w:t>GitHub Codespaces, x86_64, 2 vCPU, Docker 29.3.0, Python 3.12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Fn — fnproject/fnserver:latest (0.3.x), containerized, iofs socket fix</w:t>
            </w:r>
          </w:p>
        </w:tc>
      </w:tr>
      <w:tr>
        <w:tc>
          <w:tcPr>
            <w:tcW w:type="dxa" w:w="4320"/>
          </w:tcPr>
          <w:p>
            <w:r>
              <w:t>Function runtime</w:t>
            </w:r>
          </w:p>
        </w:tc>
        <w:tc>
          <w:tcPr>
            <w:tcW w:type="dxa" w:w="4320"/>
          </w:tcPr>
          <w:p>
            <w:r>
              <w:t>Python 3.12 FDK (fnproject/python:3.12)</w:t>
            </w:r>
          </w:p>
        </w:tc>
      </w:tr>
      <w:tr>
        <w:tc>
          <w:tcPr>
            <w:tcW w:type="dxa" w:w="4320"/>
          </w:tcPr>
          <w:p>
            <w:r>
              <w:t>Load generator</w:t>
            </w:r>
          </w:p>
        </w:tc>
        <w:tc>
          <w:tcPr>
            <w:tcW w:type="dxa" w:w="4320"/>
          </w:tcPr>
          <w:p>
            <w:r>
              <w:t>hey (Go) preferred; Python stdlib fallback</w:t>
            </w:r>
          </w:p>
        </w:tc>
      </w:tr>
      <w:tr>
        <w:tc>
          <w:tcPr>
            <w:tcW w:type="dxa" w:w="4320"/>
          </w:tcPr>
          <w:p>
            <w:r>
              <w:t>RAPL</w:t>
            </w:r>
          </w:p>
        </w:tc>
        <w:tc>
          <w:tcPr>
            <w:tcW w:type="dxa" w:w="4320"/>
          </w:tcPr>
          <w:p>
            <w:r>
              <w:t>Unavailable (cloud VM) -&gt; CPU-time model; bare metal pending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</w:rPr>
        <w:t>[CANDID]: RAPL validation on bare metal is a hard requirement for the final paper (Sec. 7, Sec. 10).</w:t>
      </w:r>
    </w:p>
    <w:p>
      <w:pPr>
        <w:pStyle w:val="Heading2"/>
      </w:pPr>
      <w:r>
        <w:t>4.3 Workload</w:t>
      </w:r>
    </w:p>
    <w:p>
      <w:pPr>
        <w:spacing w:after="120"/>
      </w:pPr>
      <w:r>
        <w:rPr>
          <w:b w:val="0"/>
          <w:i w:val="0"/>
        </w:rPr>
        <w:t>hello/func.py is a genuine 5 ms CPU spin (while time.perf_counter() - t0 &lt; 0.005: pass). Rationale: a CPU-anchored workload makes the function's marginal CPU measurable and stable. A no-op "hello" handler was evaluated and rejected: with a near-free function, both ratio numerator and denominator become tiny and noisy (fn freeze churn between calls -&gt; 0% CPU -&gt; cp_dynamic_share swings +/-13 pp). The metric must be workload-anchored — itself a reviewer-relevant methodological finding.</w:t>
      </w:r>
    </w:p>
    <w:p>
      <w:pPr>
        <w:spacing w:after="120"/>
      </w:pPr>
      <w:r>
        <w:rPr>
          <w:b w:val="0"/>
          <w:i w:val="0"/>
        </w:rPr>
        <w:t>Run profile: 3000 requests, concurrency 20, warmup 20, repeat 5, SLO 500 ms, duration cap 60 s.</w:t>
      </w:r>
    </w:p>
    <w:p>
      <w:pPr>
        <w:pStyle w:val="Heading2"/>
      </w:pPr>
      <w:r>
        <w:t>4.4 Instrumentation</w:t>
      </w:r>
    </w:p>
    <w:p>
      <w:pPr>
        <w:spacing w:after="120"/>
      </w:pPr>
      <w:r>
        <w:rPr>
          <w:b/>
          <w:i w:val="0"/>
        </w:rPr>
        <w:t>Sampler (v9 architecture). A background thread reads per-container CPU. Two modes:</w:t>
      </w:r>
    </w:p>
    <w:p>
      <w:pPr>
        <w:pStyle w:val="ListBullet"/>
        <w:spacing w:after="40"/>
      </w:pPr>
      <w:r>
        <w:t>--sampler cgroup (primary): maps each running container to its cgroup dir and reads the raw cumulative CPU seconds (cpu.stat -&gt; usage_usec). Samples are stored as cumulative counters with true wall timestamps.</w:t>
      </w:r>
    </w:p>
    <w:p>
      <w:pPr>
        <w:pStyle w:val="ListBullet"/>
        <w:spacing w:after="40"/>
      </w:pPr>
      <w:r>
        <w:t>--sampler docker (fallback): 1 Hz docker stats percentages.</w:t>
      </w:r>
    </w:p>
    <w:p>
      <w:pPr>
        <w:spacing w:after="120"/>
      </w:pPr>
      <w:r>
        <w:rPr>
          <w:b w:val="0"/>
          <w:i w:val="0"/>
        </w:rPr>
        <w:t>Key design decision — raw cumulative + true-timestamp differencing. The reducer differences consecutive cumulative reads using true sample timestamps (dt = t[i+1] - t[i]). This makes the totals exact regardless of sampling cadence — slow cgroup reads, scheduling jitter, or spurious wakeups cannot bias the integral (the reducer never re-multiplies by a sampler-internal dt). This property is what lets the delta-check pass to 0.01% even when sampling coverage is low on the nested mount (Sec. 5.3). Memory is captured the same way (memory.current / memory.usage_in_bytes) so cp_peak_mem_mb is a real measurement in cgroup mode (v9.2+).</w:t>
      </w:r>
    </w:p>
    <w:p>
      <w:pPr>
        <w:spacing w:after="120"/>
      </w:pPr>
      <w:r>
        <w:rPr>
          <w:b w:val="0"/>
          <w:i w:val="0"/>
        </w:rPr>
        <w:t>--delta-check (independent validation). The control-plane container's cumulative counter is read directly immediately before and after the window; the direct delta is compared with the sampler's accumulated total: cp_sampler_vs_delta_pct = (sampler_total / direct_delta - 1) x 100. Approx 0 =&gt; the whole sampling path is validated.</w:t>
      </w:r>
    </w:p>
    <w:p>
      <w:pPr>
        <w:spacing w:after="120"/>
      </w:pPr>
      <w:r>
        <w:rPr>
          <w:b w:val="0"/>
          <w:i w:val="0"/>
        </w:rPr>
        <w:t>--idle-probe (static baseline). Platform up, zero traffic for --duration s: measures the orchestration baseline that exists even with no invocations (gateway, scheduler daemons).</w:t>
      </w:r>
    </w:p>
    <w:p>
      <w:pPr>
        <w:spacing w:after="120"/>
      </w:pPr>
      <w:r>
        <w:rPr>
          <w:b w:val="0"/>
          <w:i w:val="0"/>
        </w:rPr>
        <w:t>Load generator. hey (external Go binary) removes the harness's own Python/GIL footprint from host accounting; falls back to a Python generator. QoS percentiles from hey JSON or measured request latencies.</w:t>
      </w:r>
    </w:p>
    <w:p>
      <w:pPr>
        <w:pStyle w:val="Heading2"/>
      </w:pPr>
      <w:r>
        <w:t>4.5 Metrics &amp; energy/carbon model</w:t>
      </w:r>
    </w:p>
    <w:p>
      <w:pPr>
        <w:spacing w:after="120"/>
      </w:pPr>
      <w:r>
        <w:rPr>
          <w:b w:val="0"/>
          <w:i w:val="0"/>
        </w:rPr>
        <w:t>cpu_sec(container) = Sum(cum[i+1] - cum[i])       # cgroup mode (exact)</w:t>
      </w:r>
    </w:p>
    <w:p>
      <w:pPr>
        <w:spacing w:after="120"/>
      </w:pPr>
      <w:r>
        <w:rPr>
          <w:b w:val="0"/>
          <w:i w:val="0"/>
        </w:rPr>
        <w:t>dynamic_J(container) = cpu_sec x P_BUSY_CORE_W    # 3.5 W/busy core (Caribou, SOSP'24)</w:t>
      </w:r>
    </w:p>
    <w:p>
      <w:pPr>
        <w:spacing w:after="120"/>
      </w:pPr>
      <w:r>
        <w:rPr>
          <w:b w:val="0"/>
          <w:i w:val="0"/>
        </w:rPr>
        <w:t>total_J = P_IDLE_BASE_W x wall_s + Sum(dynamic_J) # idle 30 W baseline</w:t>
      </w:r>
    </w:p>
    <w:p>
      <w:pPr>
        <w:spacing w:after="120"/>
      </w:pPr>
      <w:r>
        <w:rPr>
          <w:b w:val="0"/>
          <w:i w:val="0"/>
        </w:rPr>
        <w:t>carbon_gCO2 = (Wh) x PUE x CI                     # PUE 1.15, CI 150 gCO2/kWh</w:t>
      </w:r>
    </w:p>
    <w:p>
      <w:pPr>
        <w:spacing w:after="120"/>
      </w:pPr>
      <w:r>
        <w:rPr>
          <w:b w:val="0"/>
          <w:i w:val="0"/>
        </w:rPr>
        <w:t>cp := containers matching --cp-containers (here: "fnserver")</w:t>
      </w:r>
    </w:p>
    <w:p>
      <w:pPr>
        <w:spacing w:after="120"/>
      </w:pPr>
      <w:r>
        <w:rPr>
          <w:b w:val="0"/>
          <w:i w:val="0"/>
        </w:rPr>
        <w:t>KPI = operational_gCO2 / N_SLO-compliant_invocations</w:t>
      </w:r>
    </w:p>
    <w:p>
      <w:pPr>
        <w:spacing w:after="120"/>
      </w:pPr>
      <w:r>
        <w:rPr>
          <w:b w:val="0"/>
          <w:i w:val="0"/>
        </w:rPr>
        <w:t>embodied_DRAM = 1390 gCO2/GB / (5 yr x 8760 h)    # amortized, reported for context</w:t>
      </w:r>
    </w:p>
    <w:p>
      <w:pPr>
        <w:spacing w:after="120"/>
      </w:pPr>
      <w:r>
        <w:rPr>
          <w:b w:val="0"/>
          <w:i/>
          <w:sz w:val="18"/>
        </w:rPr>
        <w:t>Constants: P_BUSY_CORE_W = 3.5, P_IDLE_BASE_W = 30.0, PUE = 1.15, CI = 150 gCO2/kWh, SAMPLE_S = 1.0.</w:t>
      </w:r>
    </w:p>
    <w:p>
      <w:pPr>
        <w:spacing w:after="120"/>
      </w:pPr>
      <w:r>
        <w:rPr>
          <w:b w:val="0"/>
          <w:i w:val="0"/>
        </w:rPr>
        <w:t>This is estimation, not measurement for absolute Joules (+/-50% typical on absolute energy). It is defensible as: (a) a transparent, reproducible model; (b) a relative cross-platform comparator on identical hardware; (c) RAPL-validated on bare metal (pending).</w:t>
      </w:r>
    </w:p>
    <w:p>
      <w:pPr>
        <w:spacing w:after="120"/>
      </w:pPr>
      <w:r>
        <w:rPr>
          <w:b w:val="0"/>
          <w:i w:val="0"/>
        </w:rPr>
        <w:t>Model constant sources &amp; sensitivity. busy_core_w = 3.5 follows Caribou (SOSP '24) per-core dynamic power; idle_w = 30 is a typical low-end server idle draw (the SPECpower family is the standard methodology for server power values). Neither is chip-measured here (see Sec. 7). Every summary emits a sensitivity block that recomputes the dynamic share, dynamic energy, and operational carbon at busy-core 2/3.5/5 W, plus idle_band (carbon at idle 15/30/45 W): the dynamic share is invariant to the busy-core constant (it cancels in the ratio), so the headline ratio is model-robust; absolute energy/carbon scale linearly and are honestly bounded by these bands until RAPL ground truth exists.</w:t>
      </w:r>
    </w:p>
    <w:p>
      <w:pPr>
        <w:pStyle w:val="Heading2"/>
      </w:pPr>
      <w:r>
        <w:t>4.6 Statistical protocol</w:t>
      </w:r>
    </w:p>
    <w:p>
      <w:pPr>
        <w:pStyle w:val="ListBullet"/>
        <w:spacing w:after="40"/>
      </w:pPr>
      <w:r>
        <w:t>N=5 repeats per configuration; every numeric leaf summarized as median + min/max spread.</w:t>
      </w:r>
    </w:p>
    <w:p>
      <w:pPr>
        <w:pStyle w:val="ListBullet"/>
        <w:spacing w:after="40"/>
      </w:pPr>
      <w:r>
        <w:t>Ratios are computed per-run and then medianed (never reconstructed from medians of raw components) — prevents internally-impossible aggregated ratios.</w:t>
      </w:r>
    </w:p>
    <w:p>
      <w:pPr>
        <w:pStyle w:val="ListBullet"/>
        <w:spacing w:after="40"/>
      </w:pPr>
      <w:r>
        <w:t>bootstrap_ci (percentile bootstrap over runs) and cv_pct report repeat-run uncertainty.</w:t>
      </w:r>
    </w:p>
    <w:p>
      <w:pPr>
        <w:pStyle w:val="ListBullet"/>
        <w:spacing w:after="40"/>
      </w:pPr>
      <w:r>
        <w:t>JSON outputs sanitized (NaN/Inf -&gt; null) for strict downstream parsers.</w:t>
      </w:r>
    </w:p>
    <w:p>
      <w:pPr>
        <w:pStyle w:val="Heading2"/>
      </w:pPr>
      <w:r>
        <w:t>4.7 Validation gates (must ALL pass per run)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Accept</w:t>
            </w:r>
          </w:p>
        </w:tc>
      </w:tr>
      <w:tr>
        <w:tc>
          <w:tcPr>
            <w:tcW w:type="dxa" w:w="2880"/>
          </w:tcPr>
          <w:p>
            <w:r>
              <w:t>Delta-check</w:t>
            </w:r>
          </w:p>
        </w:tc>
        <w:tc>
          <w:tcPr>
            <w:tcW w:type="dxa" w:w="2880"/>
          </w:tcPr>
          <w:p>
            <w:r>
              <w:t>cp_sampler_vs_delta_pct</w:t>
            </w:r>
          </w:p>
        </w:tc>
        <w:tc>
          <w:tcPr>
            <w:tcW w:type="dxa" w:w="2880"/>
          </w:tcPr>
          <w:p>
            <w:r>
              <w:t>approx 0 (single-digit %)</w:t>
            </w:r>
          </w:p>
        </w:tc>
      </w:tr>
      <w:tr>
        <w:tc>
          <w:tcPr>
            <w:tcW w:type="dxa" w:w="2880"/>
          </w:tcPr>
          <w:p>
            <w:r>
              <w:t>Physical plausibility</w:t>
            </w:r>
          </w:p>
        </w:tc>
        <w:tc>
          <w:tcPr>
            <w:tcW w:type="dxa" w:w="2880"/>
          </w:tcPr>
          <w:p>
            <w:r>
              <w:t>cpu_sec.fn + cpu_sec.cp &lt;= cpu_count x wall_s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sampling_covered_s / wall_s</w:t>
            </w:r>
          </w:p>
        </w:tc>
        <w:tc>
          <w:tcPr>
            <w:tcW w:type="dxa" w:w="2880"/>
          </w:tcPr>
          <w:p>
            <w:r>
              <w:t>&gt;= 95% (bare-metal target)</w:t>
            </w:r>
          </w:p>
        </w:tc>
      </w:tr>
      <w:tr>
        <w:tc>
          <w:tcPr>
            <w:tcW w:type="dxa" w:w="2880"/>
          </w:tcPr>
          <w:p>
            <w:r>
              <w:t>QoS integrity</w:t>
            </w:r>
          </w:p>
        </w:tc>
        <w:tc>
          <w:tcPr>
            <w:tcW w:type="dxa" w:w="2880"/>
          </w:tcPr>
          <w:p>
            <w:r>
              <w:t>availability, SLO compliance</w:t>
            </w:r>
          </w:p>
        </w:tc>
        <w:tc>
          <w:tcPr>
            <w:tcW w:type="dxa" w:w="2880"/>
          </w:tcPr>
          <w:p>
            <w:r>
              <w:t>&gt;= 99%</w:t>
            </w:r>
          </w:p>
        </w:tc>
      </w:tr>
      <w:tr>
        <w:tc>
          <w:tcPr>
            <w:tcW w:type="dxa" w:w="2880"/>
          </w:tcPr>
          <w:p>
            <w:r>
              <w:t>Determinism</w:t>
            </w:r>
          </w:p>
        </w:tc>
        <w:tc>
          <w:tcPr>
            <w:tcW w:type="dxa" w:w="2880"/>
          </w:tcPr>
          <w:p>
            <w:r>
              <w:t>two independent runs reproduce</w:t>
            </w:r>
          </w:p>
        </w:tc>
        <w:tc>
          <w:tcPr>
            <w:tcW w:type="dxa" w:w="2880"/>
          </w:tcPr>
          <w:p>
            <w:r>
              <w:t>within repeat variance</w:t>
            </w:r>
          </w:p>
        </w:tc>
      </w:tr>
    </w:tbl>
    <w:p>
      <w:pPr>
        <w:spacing w:after="40"/>
      </w:pPr>
    </w:p>
    <w:p>
      <w:pPr>
        <w:pStyle w:val="Heading1"/>
      </w:pPr>
      <w:r>
        <w:t>5. Results (Fn, validated — median of 5 runs x 2 independent reproductions)</w:t>
      </w:r>
    </w:p>
    <w:p>
      <w:pPr>
        <w:pStyle w:val="Heading2"/>
      </w:pPr>
      <w:r>
        <w:t>5.1 QoS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Requests / success</w:t>
            </w:r>
          </w:p>
        </w:tc>
        <w:tc>
          <w:tcPr>
            <w:tcW w:type="dxa" w:w="4320"/>
          </w:tcPr>
          <w:p>
            <w:r>
              <w:t>3000 / 3000 (availability 1.0)</w:t>
            </w:r>
          </w:p>
        </w:tc>
      </w:tr>
      <w:tr>
        <w:tc>
          <w:tcPr>
            <w:tcW w:type="dxa" w:w="4320"/>
          </w:tcPr>
          <w:p>
            <w:r>
              <w:t>Throughput</w:t>
            </w:r>
          </w:p>
        </w:tc>
        <w:tc>
          <w:tcPr>
            <w:tcW w:type="dxa" w:w="4320"/>
          </w:tcPr>
          <w:p>
            <w:r>
              <w:t>205.96 rps</w:t>
            </w:r>
          </w:p>
        </w:tc>
      </w:tr>
      <w:tr>
        <w:tc>
          <w:tcPr>
            <w:tcW w:type="dxa" w:w="4320"/>
          </w:tcPr>
          <w:p>
            <w:r>
              <w:t>Latency p50 / p90 / p99 / max</w:t>
            </w:r>
          </w:p>
        </w:tc>
        <w:tc>
          <w:tcPr>
            <w:tcW w:type="dxa" w:w="4320"/>
          </w:tcPr>
          <w:p>
            <w:r>
              <w:t>83.6 / 151.8 / 308.6 / 569.6 ms</w:t>
            </w:r>
          </w:p>
        </w:tc>
      </w:tr>
      <w:tr>
        <w:tc>
          <w:tcPr>
            <w:tcW w:type="dxa" w:w="4320"/>
          </w:tcPr>
          <w:p>
            <w:r>
              <w:t>SLO compliance (500 ms)</w:t>
            </w:r>
          </w:p>
        </w:tc>
        <w:tc>
          <w:tcPr>
            <w:tcW w:type="dxa" w:w="4320"/>
          </w:tcPr>
          <w:p>
            <w:r>
              <w:t>99.97%</w:t>
            </w:r>
          </w:p>
        </w:tc>
      </w:tr>
    </w:tbl>
    <w:p>
      <w:pPr>
        <w:spacing w:after="40"/>
      </w:pPr>
    </w:p>
    <w:p>
      <w:pPr>
        <w:pStyle w:val="Heading2"/>
      </w:pPr>
      <w:r>
        <w:t>5.2 Energy &amp; CPU attribution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4176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304"/>
          </w:tcPr>
          <w:p>
            <w:r>
              <w:t>cpu_sec.control_plane</w:t>
            </w:r>
          </w:p>
        </w:tc>
        <w:tc>
          <w:tcPr>
            <w:tcW w:type="dxa" w:w="2160"/>
          </w:tcPr>
          <w:p>
            <w:r>
              <w:t>2.61 s</w:t>
            </w:r>
          </w:p>
        </w:tc>
        <w:tc>
          <w:tcPr>
            <w:tcW w:type="dxa" w:w="4176"/>
          </w:tcPr>
          <w:p>
            <w:r>
              <w:t>fnserver CPU over 14.6 s window</w:t>
            </w:r>
          </w:p>
        </w:tc>
      </w:tr>
      <w:tr>
        <w:tc>
          <w:tcPr>
            <w:tcW w:type="dxa" w:w="2304"/>
          </w:tcPr>
          <w:p>
            <w:r>
              <w:t>cpu_sec.function</w:t>
            </w:r>
          </w:p>
        </w:tc>
        <w:tc>
          <w:tcPr>
            <w:tcW w:type="dxa" w:w="2160"/>
          </w:tcPr>
          <w:p>
            <w:r>
              <w:t>6.00 s</w:t>
            </w:r>
          </w:p>
        </w:tc>
        <w:tc>
          <w:tcPr>
            <w:tcW w:type="dxa" w:w="4176"/>
          </w:tcPr>
          <w:p>
            <w:r>
              <w:t>function containers (lower bound — see Sec. 7)</w:t>
            </w:r>
          </w:p>
        </w:tc>
      </w:tr>
      <w:tr>
        <w:tc>
          <w:tcPr>
            <w:tcW w:type="dxa" w:w="2304"/>
          </w:tcPr>
          <w:p>
            <w:r>
              <w:t>cpu_sec_ceiling</w:t>
            </w:r>
          </w:p>
        </w:tc>
        <w:tc>
          <w:tcPr>
            <w:tcW w:type="dxa" w:w="2160"/>
          </w:tcPr>
          <w:p>
            <w:r>
              <w:t>29.13 s</w:t>
            </w:r>
          </w:p>
        </w:tc>
        <w:tc>
          <w:tcPr>
            <w:tcW w:type="dxa" w:w="4176"/>
          </w:tcPr>
          <w:p>
            <w:r>
              <w:t>2 cores x 14.57 s (physical max)</w:t>
            </w:r>
          </w:p>
        </w:tc>
      </w:tr>
      <w:tr>
        <w:tc>
          <w:tcPr>
            <w:tcW w:type="dxa" w:w="2304"/>
          </w:tcPr>
          <w:p>
            <w:r>
              <w:t>cp_share_pct</w:t>
            </w:r>
          </w:p>
        </w:tc>
        <w:tc>
          <w:tcPr>
            <w:tcW w:type="dxa" w:w="2160"/>
          </w:tcPr>
          <w:p>
            <w:r>
              <w:t>1.94%</w:t>
            </w:r>
          </w:p>
        </w:tc>
        <w:tc>
          <w:tcPr>
            <w:tcW w:type="dxa" w:w="4176"/>
          </w:tcPr>
          <w:p>
            <w:r>
              <w:t>CP / total machine energy</w:t>
            </w:r>
          </w:p>
        </w:tc>
      </w:tr>
      <w:tr>
        <w:tc>
          <w:tcPr>
            <w:tcW w:type="dxa" w:w="2304"/>
          </w:tcPr>
          <w:p>
            <w:r>
              <w:t>cp_dynamic_share_pct</w:t>
            </w:r>
          </w:p>
        </w:tc>
        <w:tc>
          <w:tcPr>
            <w:tcW w:type="dxa" w:w="2160"/>
          </w:tcPr>
          <w:p>
            <w:r>
              <w:t>30.3%</w:t>
            </w:r>
          </w:p>
        </w:tc>
        <w:tc>
          <w:tcPr>
            <w:tcW w:type="dxa" w:w="4176"/>
          </w:tcPr>
          <w:p>
            <w:r>
              <w:t>CP / (function + CP) dynamic energy</w:t>
            </w:r>
          </w:p>
        </w:tc>
      </w:tr>
      <w:tr>
        <w:tc>
          <w:tcPr>
            <w:tcW w:type="dxa" w:w="2304"/>
          </w:tcPr>
          <w:p>
            <w:r>
              <w:t>Dynamic energy</w:t>
            </w:r>
          </w:p>
        </w:tc>
        <w:tc>
          <w:tcPr>
            <w:tcW w:type="dxa" w:w="2160"/>
          </w:tcPr>
          <w:p>
            <w:r>
              <w:t>30.1 J</w:t>
            </w:r>
          </w:p>
        </w:tc>
        <w:tc>
          <w:tcPr>
            <w:tcW w:type="dxa" w:w="4176"/>
          </w:tcPr>
          <w:p>
            <w:r>
              <w:t>CP 9.1 J + function 21.0 J</w:t>
            </w:r>
          </w:p>
        </w:tc>
      </w:tr>
      <w:tr>
        <w:tc>
          <w:tcPr>
            <w:tcW w:type="dxa" w:w="2304"/>
          </w:tcPr>
          <w:p>
            <w:r>
              <w:t>Total energy (window)</w:t>
            </w:r>
          </w:p>
        </w:tc>
        <w:tc>
          <w:tcPr>
            <w:tcW w:type="dxa" w:w="2160"/>
          </w:tcPr>
          <w:p>
            <w:r>
              <w:t>467 J</w:t>
            </w:r>
          </w:p>
        </w:tc>
        <w:tc>
          <w:tcPr>
            <w:tcW w:type="dxa" w:w="4176"/>
          </w:tcPr>
          <w:p>
            <w:r>
              <w:t>30 W idle x 14.6 s + 30.1 J dynamic</w:t>
            </w:r>
          </w:p>
        </w:tc>
      </w:tr>
      <w:tr>
        <w:tc>
          <w:tcPr>
            <w:tcW w:type="dxa" w:w="2304"/>
          </w:tcPr>
          <w:p>
            <w:r>
              <w:t>cp_peak_mem_mb</w:t>
            </w:r>
          </w:p>
        </w:tc>
        <w:tc>
          <w:tcPr>
            <w:tcW w:type="dxa" w:w="2160"/>
          </w:tcPr>
          <w:p>
            <w:r>
              <w:t>pending v9.2 re-run</w:t>
            </w:r>
          </w:p>
        </w:tc>
        <w:tc>
          <w:tcPr>
            <w:tcW w:type="dxa" w:w="4176"/>
          </w:tcPr>
          <w:p>
            <w:r>
              <w:t>memory now captured in cgroup mode (was 0.0)</w:t>
            </w:r>
          </w:p>
        </w:tc>
      </w:tr>
    </w:tbl>
    <w:p>
      <w:pPr>
        <w:spacing w:after="40"/>
      </w:pPr>
    </w:p>
    <w:p>
      <w:pPr>
        <w:pStyle w:val="Heading2"/>
      </w:pPr>
      <w:r>
        <w:t>5.3 Validation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cp_sampler_vs_delta_pct</w:t>
            </w:r>
          </w:p>
        </w:tc>
        <w:tc>
          <w:tcPr>
            <w:tcW w:type="dxa" w:w="4320"/>
          </w:tcPr>
          <w:p>
            <w:r>
              <w:t>0.01% (sampler = direct counter)</w:t>
            </w:r>
          </w:p>
        </w:tc>
      </w:tr>
      <w:tr>
        <w:tc>
          <w:tcPr>
            <w:tcW w:type="dxa" w:w="4320"/>
          </w:tcPr>
          <w:p>
            <w:r>
              <w:t>cp_delta_sec vs sampler CP</w:t>
            </w:r>
          </w:p>
        </w:tc>
        <w:tc>
          <w:tcPr>
            <w:tcW w:type="dxa" w:w="4320"/>
          </w:tcPr>
          <w:p>
            <w:r>
              <w:t>2.607 approx 2.61 s (exact)</w:t>
            </w:r>
          </w:p>
        </w:tc>
      </w:tr>
      <w:tr>
        <w:tc>
          <w:tcPr>
            <w:tcW w:type="dxa" w:w="4320"/>
          </w:tcPr>
          <w:p>
            <w:r>
              <w:t>physical_plausible</w:t>
            </w:r>
          </w:p>
        </w:tc>
        <w:tc>
          <w:tcPr>
            <w:tcW w:type="dxa" w:w="4320"/>
          </w:tcPr>
          <w:p>
            <w:r>
              <w:t>true on all 5 runs</w:t>
            </w:r>
          </w:p>
        </w:tc>
      </w:tr>
      <w:tr>
        <w:tc>
          <w:tcPr>
            <w:tcW w:type="dxa" w:w="4320"/>
          </w:tcPr>
          <w:p>
            <w:r>
              <w:t>Reproduction</w:t>
            </w:r>
          </w:p>
        </w:tc>
        <w:tc>
          <w:tcPr>
            <w:tcW w:type="dxa" w:w="4320"/>
          </w:tcPr>
          <w:p>
            <w:r>
              <w:t>2nd full run: delta 0.01%, share 30.32% (Delta &lt; 0.3 pp)</w:t>
            </w:r>
          </w:p>
        </w:tc>
      </w:tr>
    </w:tbl>
    <w:p>
      <w:pPr>
        <w:spacing w:after="40"/>
      </w:pPr>
    </w:p>
    <w:p>
      <w:pPr>
        <w:pStyle w:val="Heading2"/>
      </w:pPr>
      <w:r>
        <w:t>5.4 Absolute per-invocation overhead (model-based)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Quantity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Per invocation</w:t>
            </w:r>
          </w:p>
        </w:tc>
      </w:tr>
      <w:tr>
        <w:tc>
          <w:tcPr>
            <w:tcW w:type="dxa" w:w="4320"/>
          </w:tcPr>
          <w:p>
            <w:r>
              <w:t>Control-plane CPU</w:t>
            </w:r>
          </w:p>
        </w:tc>
        <w:tc>
          <w:tcPr>
            <w:tcW w:type="dxa" w:w="4320"/>
          </w:tcPr>
          <w:p>
            <w:r>
              <w:t>2.61 s / 3000 = 0.87 ms CPU</w:t>
            </w:r>
          </w:p>
        </w:tc>
      </w:tr>
      <w:tr>
        <w:tc>
          <w:tcPr>
            <w:tcW w:type="dxa" w:w="4320"/>
          </w:tcPr>
          <w:p>
            <w:r>
              <w:t>Control-plane dynamic energy</w:t>
            </w:r>
          </w:p>
        </w:tc>
        <w:tc>
          <w:tcPr>
            <w:tcW w:type="dxa" w:w="4320"/>
          </w:tcPr>
          <w:p>
            <w:r>
              <w:t>9.1 J / 3000 = 3.03 mJ</w:t>
            </w:r>
          </w:p>
        </w:tc>
      </w:tr>
      <w:tr>
        <w:tc>
          <w:tcPr>
            <w:tcW w:type="dxa" w:w="4320"/>
          </w:tcPr>
          <w:p>
            <w:r>
              <w:t>Control-plane carbon (dynamic)</w:t>
            </w:r>
          </w:p>
        </w:tc>
        <w:tc>
          <w:tcPr>
            <w:tcW w:type="dxa" w:w="4320"/>
          </w:tcPr>
          <w:p>
            <w:r>
              <w:t>approx 145 ug CO2</w:t>
            </w:r>
          </w:p>
        </w:tc>
      </w:tr>
      <w:tr>
        <w:tc>
          <w:tcPr>
            <w:tcW w:type="dxa" w:w="4320"/>
          </w:tcPr>
          <w:p>
            <w:r>
              <w:t>Total operational carbon (incl. idle base)</w:t>
            </w:r>
          </w:p>
        </w:tc>
        <w:tc>
          <w:tcPr>
            <w:tcW w:type="dxa" w:w="4320"/>
          </w:tcPr>
          <w:p>
            <w:r>
              <w:t>approx 7.5 mg CO2 (idle dominates: ~94%)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The idle-dominance is itself a result: at this light load, ~94% of operational carbon is the always-on baseline, and the marginal cost of serving is split 30/70 orchestration/function. This is precisely the regime where autoscaling ("scale to zero") pays off — and where the orchestration tax is most visible per unit of useful work.</w:t>
      </w:r>
    </w:p>
    <w:p>
      <w:pPr>
        <w:pStyle w:val="Heading1"/>
      </w:pPr>
      <w:r>
        <w:t>6. Discussion</w:t>
      </w:r>
    </w:p>
    <w:p>
      <w:pPr>
        <w:spacing w:after="120"/>
      </w:pPr>
      <w:r>
        <w:rPr>
          <w:b/>
          <w:i w:val="0"/>
        </w:rPr>
        <w:t>Why the headline is cp_dynamic_share_pct, not cp_share_pct. The static share (1.9%) is what an operator sees on a dashboard; it hides the fact that the marginal cost of serving a function is one-third orchestration. The dynamic share is the economically relevant quantity for per-invocation pricing, carbon-aware scheduling, and "green function" claims.</w:t>
      </w:r>
    </w:p>
    <w:p>
      <w:pPr>
        <w:spacing w:after="120"/>
      </w:pPr>
      <w:r>
        <w:rPr>
          <w:b w:val="0"/>
          <w:i w:val="0"/>
        </w:rPr>
        <w:t>Workload anchoring. Ratios over near-zero denominators are noise (the no-op workload case). A CPU-anchored function makes the dynamic share measurable and reproducible (+/-3 pp across runs, +/-0.3 pp across reproductions).</w:t>
      </w:r>
    </w:p>
    <w:p>
      <w:pPr>
        <w:spacing w:after="120"/>
      </w:pPr>
      <w:r>
        <w:rPr>
          <w:b w:val="0"/>
          <w:i w:val="0"/>
        </w:rPr>
        <w:t>What is measured vs estimated (honest line). Measured directly: QoS, per-container CPU (validated to 0.01% against direct counters), physical plausibility. Modeled: absolute Joules and carbon (CPU-time proportionality, literature constants). The relative dynamic share is robust to the model constant (3.5 W/core scales both numerator and denominator), so the 30.3% claim is the most defensible number we produce.</w:t>
      </w:r>
    </w:p>
    <w:p>
      <w:pPr>
        <w:pStyle w:val="Heading1"/>
      </w:pPr>
      <w:r>
        <w:t>7. Threats to Validity (explicit)</w:t>
      </w:r>
    </w:p>
    <w:p>
      <w:pPr>
        <w:pStyle w:val="ListBullet"/>
        <w:spacing w:after="40"/>
      </w:pPr>
      <w:r>
        <w:t>No RAPL. Absolute energy/carbon are model estimates, not measurements. [CANDID]: bare-metal RAPL validation required.</w:t>
      </w:r>
    </w:p>
    <w:p>
      <w:pPr>
        <w:pStyle w:val="ListBullet"/>
        <w:spacing w:after="40"/>
      </w:pPr>
      <w:r>
        <w:t>Function CPU is a lower bound. Function containers live 2-5 s and are only partially captured by the sparse nested-mount sampler (sampling_covered_s ranged 13-100% across runs; totals stay exact for sampled containers because of cumulative differencing). CP is exact (proven); treat cpu_sec.function as &gt;= the reported value. Improves on bare metal.</w:t>
      </w:r>
    </w:p>
    <w:p>
      <w:pPr>
        <w:pStyle w:val="ListBullet"/>
        <w:spacing w:after="40"/>
      </w:pPr>
      <w:r>
        <w:t>Co-tenanted shared VM. Host-level metrics (host_cpu_sec, orchestration_*) include neighbor noise and the harness's own loadgen CPU; excluded from claims. Definition: orchestration_cpu_sec = host_cpu_sec - cpu_sec.function — i.e., control plane + Docker/containerd daemons + load generator + co-tenant CPU + kernel, a host-wide residual, not pure orchestration. The orchestration claim is the cgroup-exact control-plane container share (cp_dynamic_share_pct).</w:t>
      </w:r>
    </w:p>
    <w:p>
      <w:pPr>
        <w:pStyle w:val="ListBullet"/>
        <w:spacing w:after="40"/>
      </w:pPr>
      <w:r>
        <w:t>Single platform, single workload shape. Cross-platform discrimination (RQ3) is untested. [CANDID]: OpenFaaS, OpenWhisk.</w:t>
      </w:r>
    </w:p>
    <w:p>
      <w:pPr>
        <w:pStyle w:val="ListBullet"/>
        <w:spacing w:after="40"/>
      </w:pPr>
      <w:r>
        <w:t>Control plane measured as one container (fnserver), not decomposed into gateway/scheduler/queue sub-components. [CANDID]: profiling inside the control plane.</w:t>
      </w:r>
    </w:p>
    <w:p>
      <w:pPr>
        <w:pStyle w:val="ListBullet"/>
        <w:spacing w:after="40"/>
      </w:pPr>
      <w:r>
        <w:t>Model constants (idle 30 W, 3.5 W/core, PUE 1.15, CI 150) are literature defaults; CI in particular is regional/temporal.</w:t>
      </w:r>
    </w:p>
    <w:p>
      <w:pPr>
        <w:pStyle w:val="ListBullet"/>
        <w:spacing w:after="40"/>
      </w:pPr>
      <w:r>
        <w:t>Single-machine scale. 2 vCPU; orchestration overhead may scale differently at larger deployments.</w:t>
      </w:r>
    </w:p>
    <w:p>
      <w:pPr>
        <w:spacing w:after="120"/>
      </w:pPr>
      <w:r>
        <w:rPr>
          <w:b w:val="0"/>
          <w:i/>
        </w:rPr>
        <w:t>v9.3 review-driven corrections (external expert review): (a) host_cpu_sec sums busy ticks only (was total -&gt; orchestration_* inflated ~5x); (b) memory captured in cgroup mode — cp_peak_mem_mb was 0.0, now real (88.6 MB on the v9.2 run); (c) KPI fixed — now operational gCO2 per SLO-compliant invocation (approx 39.6 mg incl. idle base on the saturated-vm run); (d) sensitivity block added — dynamic share, dynamic energy, and carbon at busy-core 2/3.5/5 W (share invariant, absolutes banded); (e) orchestration_* defined explicitly as a host-wide residual (Sec. 7.3) and excluded from claims; (f) quick-run guard — SAQEF_REPEAT &lt; 5 writes to a _quick outdir so 1-run passes can't be mistaken for the 5-run publication set.</w:t>
      </w:r>
    </w:p>
    <w:p>
      <w:pPr>
        <w:spacing w:after="120"/>
      </w:pPr>
      <w:r>
        <w:rPr>
          <w:b w:val="0"/>
          <w:i/>
        </w:rPr>
        <w:t>v9.4 review-driven corrections (second external expert review): (g) host plausibility gate — host_plausible = host_cpu_sec &lt;= cpu_count x wall x 1.05, with the cgroup quota (cpu.max) printed by --check; (h) host saturation ratio reported per run and flagged &gt;= 85% (QoS is contention-contaminated on shared VMs); (i) function classification is allowlist-based (--fn-containers) with an unclassified_cpu_s bucket + container_inventory audit — a stray container can never silently inflate fn_cpu; (j) runs are count-bound (exactly N requests; --duration is a safety cap, not a hard stop) because hey's -z/-n precedence is build-dependent; (k) --rescan-s (default 0.25) shrinks the blind spot for ephemeral containers; (l) iqr reported alongside bootstrap_ci/cv_pct, N &gt;= 10 for publication.</w:t>
      </w:r>
    </w:p>
    <w:p>
      <w:pPr>
        <w:pStyle w:val="Heading1"/>
      </w:pPr>
      <w:r>
        <w:t>8. The validation method caught a real bug (methodological evidence)</w:t>
      </w:r>
    </w:p>
    <w:p>
      <w:pPr>
        <w:spacing w:after="120"/>
      </w:pPr>
      <w:r>
        <w:rPr>
          <w:b w:val="0"/>
          <w:i w:val="0"/>
        </w:rPr>
        <w:t>During development, the sampler overcounted control-plane CPU by 52x under load (5188% vs the direct counter; 462 CPU-seconds attributed to a machine physically capable of 28.7 — a hard physical impossibility). Root cause: the sampler computed a percent rate with its own internal dt, which the reducer then re-multiplied by a different dt; under thread contention, scheduling jitter produced spurious rate spikes. The built-in delta-check flagged it immediately. Fix: store raw cumulative counters + difference with true timestamps (exact by construction). Post-fix delta-check: 0.01%.</w:t>
      </w:r>
    </w:p>
    <w:p>
      <w:pPr>
        <w:spacing w:after="120"/>
      </w:pPr>
      <w:r>
        <w:rPr>
          <w:b w:val="0"/>
          <w:i w:val="0"/>
        </w:rPr>
        <w:t>Why this belongs in the paper: it demonstrates that (a) self-validation is not decorative — it caught a data-corrupting bug that would have silently poisoned every platform's numbers; (b) the raw-cumulative design is cadence-immune, which is what makes sparse sampling on constrained environments still produce exact totals.</w:t>
      </w:r>
    </w:p>
    <w:p>
      <w:pPr>
        <w:pStyle w:val="Heading1"/>
      </w:pPr>
      <w:r>
        <w:t>9. Reproducibility</w:t>
      </w:r>
    </w:p>
    <w:p>
      <w:pPr>
        <w:spacing w:after="120"/>
      </w:pPr>
      <w:r>
        <w:rPr>
          <w:b w:val="0"/>
          <w:i w:val="0"/>
        </w:rPr>
        <w:t>One-command pipeline (run_saqef.sh): setup -&gt; check -&gt; verify -&gt; bench -&gt; gates.</w:t>
      </w:r>
    </w:p>
    <w:p>
      <w:pPr>
        <w:spacing w:after="120"/>
      </w:pPr>
      <w:r>
        <w:rPr>
          <w:b w:val="0"/>
          <w:i w:val="0"/>
        </w:rPr>
        <w:t>Artifacts per run: summary.json, samples.csv, requests.csv, verify.json, runs.json (median + bootstrap CI + CV + IQR + spread). Environment snapshot (cpu_count, governor, freq, sampler, loadgen, container inventory) recorded inside each summary. Stdlib-only Python; no pip installs. Full command log and historical decisions: SAQEF_TECHNICAL_REPORT.md Secs. 3, 4, 11-17.</w:t>
      </w:r>
    </w:p>
    <w:p>
      <w:pPr>
        <w:pStyle w:val="Heading1"/>
      </w:pPr>
      <w:r>
        <w:t>10. Future Work</w:t>
      </w:r>
    </w:p>
    <w:p>
      <w:pPr>
        <w:pStyle w:val="ListBullet"/>
        <w:spacing w:after="40"/>
      </w:pPr>
      <w:r>
        <w:t>OpenFaaS (same function image, same protocol) — gate: does cp_dynamic_share differ from Fn's 30.3% by &gt;5 pp? (Discrimination power test.)</w:t>
      </w:r>
    </w:p>
    <w:p>
      <w:pPr>
        <w:pStyle w:val="ListBullet"/>
        <w:spacing w:after="40"/>
      </w:pPr>
      <w:r>
        <w:t>OpenWhisk (and optionally Fission) — cross-platform comparison.</w:t>
      </w:r>
    </w:p>
    <w:p>
      <w:pPr>
        <w:pStyle w:val="ListBullet"/>
        <w:spacing w:after="40"/>
      </w:pPr>
      <w:r>
        <w:t>Bare metal (dual-boot Ubuntu) — RAPL ground truth, validation of the model, and the definitive absolute numbers.</w:t>
      </w:r>
    </w:p>
    <w:p>
      <w:pPr>
        <w:pStyle w:val="ListBullet"/>
        <w:spacing w:after="40"/>
      </w:pPr>
      <w:r>
        <w:t>Control-plane decomposition — which fnserver subcomponent (gateway, scheduler, freeze manager, watchers) costs what.</w:t>
      </w:r>
    </w:p>
    <w:p>
      <w:pPr>
        <w:pStyle w:val="ListBullet"/>
        <w:spacing w:after="40"/>
      </w:pPr>
      <w:r>
        <w:t>Cold-start vs warm — --interarrival-ms 1000 isolation experiment: the "carbon cost of elasticity."</w:t>
      </w:r>
    </w:p>
    <w:p>
      <w:pPr>
        <w:pStyle w:val="ListBullet"/>
        <w:spacing w:after="40"/>
      </w:pPr>
      <w:r>
        <w:t>Freeze-policy ablation — FN_FREEZE_IDLE_MSECS=0 vs default: quantify Fn's pause/unpause churn in energy terms.</w:t>
      </w:r>
    </w:p>
    <w:p>
      <w:pPr>
        <w:pStyle w:val="ListBullet"/>
        <w:spacing w:after="40"/>
      </w:pPr>
      <w:r>
        <w:t>Realistic mixed workloads — CPU/IO mixture, not just pure spin.</w:t>
      </w:r>
    </w:p>
    <w:p>
      <w:pPr>
        <w:pStyle w:val="Heading1"/>
      </w:pPr>
      <w:r>
        <w:t>11. Research impact &amp; how the results can be used</w:t>
      </w:r>
    </w:p>
    <w:p>
      <w:pPr>
        <w:pStyle w:val="ListBullet"/>
        <w:spacing w:after="40"/>
      </w:pPr>
      <w:r>
        <w:t>Methodology reuse: the harness + delta-check pattern is a drop-in instrument for anyone measuring FaaS energy on any platform (container-level, cgroup-validated, honest about estimation).</w:t>
      </w:r>
    </w:p>
    <w:p>
      <w:pPr>
        <w:pStyle w:val="ListBullet"/>
        <w:spacing w:after="40"/>
      </w:pPr>
      <w:r>
        <w:t>Informing models: Kepler-style CPU-time proportionality gains a real orchestration-overhead term (approx 30% of dynamic energy for Fn-class platforms), so serverless energy models stop treating orchestration as ~0.</w:t>
      </w:r>
    </w:p>
    <w:p>
      <w:pPr>
        <w:pStyle w:val="ListBullet"/>
        <w:spacing w:after="40"/>
      </w:pPr>
      <w:r>
        <w:t>Carbon-aware scheduling: a per-invocation orchestration cost (approx 3 mJ dynamic, approx 145 ug CO2 CP-only here) makes it possible to route work to the cheapest control plane — and to price "green functions" correctly.</w:t>
      </w:r>
    </w:p>
    <w:p>
      <w:pPr>
        <w:pStyle w:val="ListBullet"/>
        <w:spacing w:after="40"/>
      </w:pPr>
      <w:r>
        <w:t>Design guidance: autoscaling/scale-to-zero economics quantified — the 94% idle-baseline share quantifies exactly how much idle waste elasticity can reclaim, and the 30.3% dynamic share says what remains even when fully scaled.</w:t>
      </w:r>
    </w:p>
    <w:p>
      <w:pPr>
        <w:pStyle w:val="Heading1"/>
      </w:pPr>
      <w:r>
        <w:t>Appendix A — Consolidated results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Fn (v9.1, median)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Spread (min-max)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Units</w:t>
            </w:r>
          </w:p>
        </w:tc>
      </w:tr>
      <w:tr>
        <w:tc>
          <w:tcPr>
            <w:tcW w:type="dxa" w:w="2160"/>
          </w:tcPr>
          <w:p>
            <w:r>
              <w:t>throughput</w:t>
            </w:r>
          </w:p>
        </w:tc>
        <w:tc>
          <w:tcPr>
            <w:tcW w:type="dxa" w:w="2160"/>
          </w:tcPr>
          <w:p>
            <w:r>
              <w:t>205.96</w:t>
            </w:r>
          </w:p>
        </w:tc>
        <w:tc>
          <w:tcPr>
            <w:tcW w:type="dxa" w:w="2160"/>
          </w:tcPr>
          <w:p>
            <w:r>
              <w:t>202-223</w:t>
            </w:r>
          </w:p>
        </w:tc>
        <w:tc>
          <w:tcPr>
            <w:tcW w:type="dxa" w:w="2160"/>
          </w:tcPr>
          <w:p>
            <w:r>
              <w:t>rps</w:t>
            </w:r>
          </w:p>
        </w:tc>
      </w:tr>
      <w:tr>
        <w:tc>
          <w:tcPr>
            <w:tcW w:type="dxa" w:w="2160"/>
          </w:tcPr>
          <w:p>
            <w:r>
              <w:t>SLO compliance</w:t>
            </w:r>
          </w:p>
        </w:tc>
        <w:tc>
          <w:tcPr>
            <w:tcW w:type="dxa" w:w="2160"/>
          </w:tcPr>
          <w:p>
            <w:r>
              <w:t>0.9997</w:t>
            </w:r>
          </w:p>
        </w:tc>
        <w:tc>
          <w:tcPr>
            <w:tcW w:type="dxa" w:w="2160"/>
          </w:tcPr>
          <w:p>
            <w:r>
              <w:t>0.990-1.0</w:t>
            </w:r>
          </w:p>
        </w:tc>
        <w:tc>
          <w:tcPr>
            <w:tcW w:type="dxa" w:w="2160"/>
          </w:tcPr>
          <w:p>
            <w:r>
              <w:t>frac</w:t>
            </w:r>
          </w:p>
        </w:tc>
      </w:tr>
      <w:tr>
        <w:tc>
          <w:tcPr>
            <w:tcW w:type="dxa" w:w="2160"/>
          </w:tcPr>
          <w:p>
            <w:r>
              <w:t>latency p50</w:t>
            </w:r>
          </w:p>
        </w:tc>
        <w:tc>
          <w:tcPr>
            <w:tcW w:type="dxa" w:w="2160"/>
          </w:tcPr>
          <w:p>
            <w:r>
              <w:t>83.6</w:t>
            </w:r>
          </w:p>
        </w:tc>
        <w:tc>
          <w:tcPr>
            <w:tcW w:type="dxa" w:w="2160"/>
          </w:tcPr>
          <w:p>
            <w:r>
              <w:t>54.5-84.4</w:t>
            </w:r>
          </w:p>
        </w:tc>
        <w:tc>
          <w:tcPr>
            <w:tcW w:type="dxa" w:w="2160"/>
          </w:tcPr>
          <w:p>
            <w:r>
              <w:t>ms</w:t>
            </w:r>
          </w:p>
        </w:tc>
      </w:tr>
      <w:tr>
        <w:tc>
          <w:tcPr>
            <w:tcW w:type="dxa" w:w="2160"/>
          </w:tcPr>
          <w:p>
            <w:r>
              <w:t>latency p99</w:t>
            </w:r>
          </w:p>
        </w:tc>
        <w:tc>
          <w:tcPr>
            <w:tcW w:type="dxa" w:w="2160"/>
          </w:tcPr>
          <w:p>
            <w:r>
              <w:t>308.6</w:t>
            </w:r>
          </w:p>
        </w:tc>
        <w:tc>
          <w:tcPr>
            <w:tcW w:type="dxa" w:w="2160"/>
          </w:tcPr>
          <w:p>
            <w:r>
              <w:t>307-507</w:t>
            </w:r>
          </w:p>
        </w:tc>
        <w:tc>
          <w:tcPr>
            <w:tcW w:type="dxa" w:w="2160"/>
          </w:tcPr>
          <w:p>
            <w:r>
              <w:t>ms</w:t>
            </w:r>
          </w:p>
        </w:tc>
      </w:tr>
      <w:tr>
        <w:tc>
          <w:tcPr>
            <w:tcW w:type="dxa" w:w="2160"/>
          </w:tcPr>
          <w:p>
            <w:r>
              <w:t>cp_dynamic_share_pct</w:t>
            </w:r>
          </w:p>
        </w:tc>
        <w:tc>
          <w:tcPr>
            <w:tcW w:type="dxa" w:w="2160"/>
          </w:tcPr>
          <w:p>
            <w:r>
              <w:t>30.3</w:t>
            </w:r>
          </w:p>
        </w:tc>
        <w:tc>
          <w:tcPr>
            <w:tcW w:type="dxa" w:w="2160"/>
          </w:tcPr>
          <w:p>
            <w:r>
              <w:t>30.2-44.4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cp_share_pct</w:t>
            </w:r>
          </w:p>
        </w:tc>
        <w:tc>
          <w:tcPr>
            <w:tcW w:type="dxa" w:w="2160"/>
          </w:tcPr>
          <w:p>
            <w:r>
              <w:t>1.94</w:t>
            </w:r>
          </w:p>
        </w:tc>
        <w:tc>
          <w:tcPr>
            <w:tcW w:type="dxa" w:w="2160"/>
          </w:tcPr>
          <w:p>
            <w:r>
              <w:t>1.86-1.95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dynamic energy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  <w:tc>
          <w:tcPr>
            <w:tcW w:type="dxa" w:w="2160"/>
          </w:tcPr>
          <w:p>
            <w:r>
              <w:t>18.4-30.6</w:t>
            </w:r>
          </w:p>
        </w:tc>
        <w:tc>
          <w:tcPr>
            <w:tcW w:type="dxa" w:w="2160"/>
          </w:tcPr>
          <w:p>
            <w:r>
              <w:t>J</w:t>
            </w:r>
          </w:p>
        </w:tc>
      </w:tr>
      <w:tr>
        <w:tc>
          <w:tcPr>
            <w:tcW w:type="dxa" w:w="2160"/>
          </w:tcPr>
          <w:p>
            <w:r>
              <w:t>cp_peak_mem_mb</w:t>
            </w:r>
          </w:p>
        </w:tc>
        <w:tc>
          <w:tcPr>
            <w:tcW w:type="dxa" w:w="2160"/>
          </w:tcPr>
          <w:p>
            <w:r>
              <w:t>pending v9.2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MB</w:t>
            </w:r>
          </w:p>
        </w:tc>
      </w:tr>
      <w:tr>
        <w:tc>
          <w:tcPr>
            <w:tcW w:type="dxa" w:w="2160"/>
          </w:tcPr>
          <w:p>
            <w:r>
              <w:t>KPI (op. gCO2 per SLO-compliant inv., incl. idle base)</w:t>
            </w:r>
          </w:p>
        </w:tc>
        <w:tc>
          <w:tcPr>
            <w:tcW w:type="dxa" w:w="2160"/>
          </w:tcPr>
          <w:p>
            <w:r>
              <w:t>approx 7.5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mg CO2</w:t>
            </w:r>
          </w:p>
        </w:tc>
      </w:tr>
      <w:tr>
        <w:tc>
          <w:tcPr>
            <w:tcW w:type="dxa" w:w="2160"/>
          </w:tcPr>
          <w:p>
            <w:r>
              <w:t>control-plane carbon per invocation (dynamic only)</w:t>
            </w:r>
          </w:p>
        </w:tc>
        <w:tc>
          <w:tcPr>
            <w:tcW w:type="dxa" w:w="2160"/>
          </w:tcPr>
          <w:p>
            <w:r>
              <w:t>approx 145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ug CO2</w:t>
            </w:r>
          </w:p>
        </w:tc>
      </w:tr>
      <w:tr>
        <w:tc>
          <w:tcPr>
            <w:tcW w:type="dxa" w:w="2160"/>
          </w:tcPr>
          <w:p>
            <w:r>
              <w:t>cp_sampler_vs_delta_pct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0.01-0.15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physical_plausible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8"/>
        </w:rPr>
        <w:t>Table values are v9.1 medians; KPI and cp_peak_mem_mb reflect the v9.2 formulas and await the v9.2 re-run to be confirmed against fresh samples.</w:t>
      </w:r>
    </w:p>
    <w:p>
      <w:pPr>
        <w:spacing w:after="120"/>
      </w:pPr>
      <w:r>
        <w:rPr>
          <w:b w:val="0"/>
          <w:i/>
          <w:sz w:val="18"/>
        </w:rPr>
        <w:t>Everything in this draft is traceable to SAQEF_TECHNICAL_REPORT.md and executable via run_saqef.sh all. Update this document as each [CANDID] gap closes.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C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B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