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40"/>
        <w:jc w:val="center"/>
      </w:pPr>
      <w:r>
        <w:rPr>
          <w:b/>
          <w:bCs/>
          <w:color w:val="1D4ED8"/>
          <w:sz w:val="40"/>
          <w:szCs w:val="40"/>
        </w:rPr>
        <w:t xml:space="preserve">FRONTEND SOFTWARE REQUIREMENTS SPECIFICATION</w:t>
      </w:r>
    </w:p>
    <w:p>
      <w:pPr>
        <w:spacing w:after="480"/>
        <w:jc w:val="center"/>
      </w:pPr>
      <w:r>
        <w:rPr>
          <w:b/>
          <w:bCs/>
          <w:color w:val="1E293B"/>
          <w:sz w:val="32"/>
          <w:szCs w:val="32"/>
        </w:rPr>
        <w:t xml:space="preserve">Stock Management System</w:t>
      </w:r>
    </w:p>
    <w:p>
      <w:pPr>
        <w:spacing w:after="120"/>
        <w:jc w:val="center"/>
      </w:pPr>
      <w:r>
        <w:rPr>
          <w:color w:val="64748B"/>
          <w:sz w:val="24"/>
          <w:szCs w:val="24"/>
        </w:rPr>
        <w:t xml:space="preserve">Prepared for the Frontend Development Team</w:t>
      </w:r>
    </w:p>
    <w:p>
      <w:pPr>
        <w:spacing w:after="1200"/>
        <w:jc w:val="center"/>
      </w:pPr>
      <w:r>
        <w:rPr>
          <w:i/>
          <w:iCs/>
          <w:color w:val="64748B"/>
          <w:sz w:val="22"/>
          <w:szCs w:val="22"/>
        </w:rPr>
        <w:t xml:space="preserve">Companion document to the project System Requirements Specification (SRS)</w:t>
      </w:r>
    </w:p>
    <w:p>
      <w:pPr>
        <w:spacing w:after="80"/>
        <w:jc w:val="center"/>
      </w:pPr>
      <w:r>
        <w:rPr>
          <w:color w:val="334155"/>
          <w:sz w:val="22"/>
          <w:szCs w:val="22"/>
        </w:rPr>
        <w:t xml:space="preserve">Version 1.0</w:t>
      </w:r>
    </w:p>
    <w:p>
      <w:pPr>
        <w:jc w:val="center"/>
      </w:pPr>
      <w:r>
        <w:rPr>
          <w:color w:val="334155"/>
          <w:sz w:val="22"/>
          <w:szCs w:val="22"/>
        </w:rPr>
        <w:t xml:space="preserve">August 2026</w:t>
      </w:r>
    </w:p>
    <w:p>
      <w:r>
        <w:br w:type="page"/>
      </w:r>
    </w:p>
    <w:p>
      <w:pPr>
        <w:pStyle w:val="Heading1"/>
        <w:spacing w:after="160" w:before="360"/>
      </w:pPr>
      <w:r>
        <w:t xml:space="preserve">1. Introduction</w:t>
      </w:r>
    </w:p>
    <w:p>
      <w:pPr>
        <w:pStyle w:val="Heading2"/>
        <w:spacing w:after="120" w:before="280"/>
      </w:pPr>
      <w:r>
        <w:t xml:space="preserve">1.1 Purpose</w:t>
      </w:r>
    </w:p>
    <w:p>
      <w:pPr>
        <w:spacing w:after="160"/>
      </w:pPr>
      <w:r>
        <w:t xml:space="preserve">This document specifies the requirements, architecture, and design decisions for the frontend (presentation layer) of the Stock Management System. It is a companion to the project’s system-wide SRS.docx and translates that document’s business, functional, and use-case requirements into concrete frontend scope: screens, components, navigation, state management, and integration contracts with the backend team’s REST API.</w:t>
      </w:r>
    </w:p>
    <w:p>
      <w:pPr>
        <w:spacing w:after="160"/>
      </w:pPr>
      <w:r>
        <w:t xml:space="preserve">It is written for the frontend developer building the system, the backend developer who will expose the API this frontend consumes, and the course advisor evaluating the project.</w:t>
      </w:r>
    </w:p>
    <w:p>
      <w:pPr>
        <w:pStyle w:val="Heading2"/>
        <w:spacing w:after="120" w:before="280"/>
      </w:pPr>
      <w:r>
        <w:t xml:space="preserve">1.2 Scope</w:t>
      </w:r>
    </w:p>
    <w:p>
      <w:pPr>
        <w:spacing w:after="160"/>
      </w:pPr>
      <w:r>
        <w:t xml:space="preserve">The frontend is a responsive, role-aware, single-page web application (React 18 + Vite) covering all 26 use cases identified for the system: store and item setup, goods receipt and technical evaluation, stock and bin cards, stock transfer, store requisitions and issue vouchers, fixed asset registration, material returns and transfers, disposal management, reporting, and audit logging.</w:t>
      </w:r>
    </w:p>
    <w:p>
      <w:pPr>
        <w:spacing w:after="160"/>
      </w:pPr>
      <w:r>
        <w:t xml:space="preserve">Out of scope for this document: backend business logic, database schema ownership (the frontend only consumes it), authentication token issuance (the frontend consumes tokens, it does not mint them), and native mobile apps.</w:t>
      </w:r>
    </w:p>
    <w:p>
      <w:pPr>
        <w:pStyle w:val="Heading2"/>
        <w:spacing w:after="120" w:before="280"/>
      </w:pPr>
      <w:r>
        <w:t xml:space="preserve">1.3 References</w:t>
      </w:r>
    </w:p>
    <w:p>
      <w:pPr>
        <w:pStyle w:val="ListParagraph"/>
        <w:numPr>
          <w:ilvl w:val="0"/>
          <w:numId w:val="1"/>
        </w:numPr>
        <w:spacing w:after="80"/>
      </w:pPr>
      <w:r>
        <w:t xml:space="preserve">Project SRS.docx — System Requirements Specification (this project, current version)</w:t>
      </w:r>
    </w:p>
    <w:p>
      <w:pPr>
        <w:pStyle w:val="ListParagraph"/>
        <w:numPr>
          <w:ilvl w:val="0"/>
          <w:numId w:val="1"/>
        </w:numPr>
        <w:spacing w:after="80"/>
      </w:pPr>
      <w:r>
        <w:t xml:space="preserve">MoFED Stock Management Manual, Federal Democratic Republic of Ethiopia, Ministry of Finance and Economic Development, May 2010 — source of the business process (Model 19 / Model 20 / Model 22 forms, bin cards, stock record cards, FIFO valuation, stock taking)</w:t>
      </w:r>
    </w:p>
    <w:p>
      <w:pPr>
        <w:pStyle w:val="ListParagraph"/>
        <w:numPr>
          <w:ilvl w:val="0"/>
          <w:numId w:val="1"/>
        </w:numPr>
        <w:spacing w:after="80"/>
      </w:pPr>
      <w:r>
        <w:t xml:space="preserve">Use case list amendment communicated by Daniel Asfaw (26 use cases), used as the primary functional checklist for this document’s Section 3</w:t>
      </w:r>
    </w:p>
    <w:p>
      <w:pPr>
        <w:pStyle w:val="Heading2"/>
        <w:spacing w:after="120" w:before="280"/>
      </w:pPr>
      <w:r>
        <w:t xml:space="preserve">1.4 Definitions Carried Over from the Manual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1D4ED8" w:val="clear"/>
            <w:tcMar>
              <w:top w:type="dxa" w:w="80"/>
              <w:left w:type="dxa" w:w="100"/>
              <w:bottom w:type="dxa" w:w="80"/>
              <w:right w:type="dxa" w:w="100"/>
            </w:tcMar>
          </w:tcPr>
          <w:p>
            <w:r>
              <w:rPr>
                <w:b/>
                <w:bCs/>
                <w:color w:val="FFFFFF"/>
              </w:rPr>
              <w:t xml:space="preserve">Term</w:t>
            </w:r>
          </w:p>
        </w:tc>
        <w:tc>
          <w:tcPr>
            <w:tcW w:type="dxa" w:w="6800"/>
            <w:shd w:fill="1D4ED8" w:val="clear"/>
            <w:tcMar>
              <w:top w:type="dxa" w:w="80"/>
              <w:left w:type="dxa" w:w="100"/>
              <w:bottom w:type="dxa" w:w="80"/>
              <w:right w:type="dxa" w:w="100"/>
            </w:tcMar>
          </w:tcPr>
          <w:p>
            <w:r>
              <w:rPr>
                <w:b/>
                <w:bCs/>
                <w:color w:val="FFFFFF"/>
              </w:rPr>
              <w:t xml:space="preserve">Meaning in this system</w:t>
            </w:r>
          </w:p>
        </w:tc>
      </w:tr>
      <w:tr>
        <w:tc>
          <w:tcPr>
            <w:tcW w:type="dxa" w:w="2600"/>
            <w:tcMar>
              <w:top w:type="dxa" w:w="80"/>
              <w:left w:type="dxa" w:w="100"/>
              <w:bottom w:type="dxa" w:w="80"/>
              <w:right w:type="dxa" w:w="100"/>
            </w:tcMar>
          </w:tcPr>
          <w:p>
            <w:r>
              <w:rPr>
                <w:b w:val="false"/>
                <w:bCs w:val="false"/>
              </w:rPr>
              <w:t xml:space="preserve">GRN</w:t>
            </w:r>
          </w:p>
        </w:tc>
        <w:tc>
          <w:tcPr>
            <w:tcW w:type="dxa" w:w="6800"/>
            <w:tcMar>
              <w:top w:type="dxa" w:w="80"/>
              <w:left w:type="dxa" w:w="100"/>
              <w:bottom w:type="dxa" w:w="80"/>
              <w:right w:type="dxa" w:w="100"/>
            </w:tcMar>
          </w:tcPr>
          <w:p>
            <w:r>
              <w:rPr>
                <w:b w:val="false"/>
                <w:bCs w:val="false"/>
              </w:rPr>
              <w:t xml:space="preserve">Goods Receiving Note — Model 19. Evidence that materials were received into store after inspection.</w:t>
            </w:r>
          </w:p>
        </w:tc>
      </w:tr>
      <w:tr>
        <w:tc>
          <w:tcPr>
            <w:tcW w:type="dxa" w:w="2600"/>
            <w:shd w:fill="F8FAFC" w:val="clear"/>
            <w:tcMar>
              <w:top w:type="dxa" w:w="80"/>
              <w:left w:type="dxa" w:w="100"/>
              <w:bottom w:type="dxa" w:w="80"/>
              <w:right w:type="dxa" w:w="100"/>
            </w:tcMar>
          </w:tcPr>
          <w:p>
            <w:r>
              <w:rPr>
                <w:b w:val="false"/>
                <w:bCs w:val="false"/>
              </w:rPr>
              <w:t xml:space="preserve">SR</w:t>
            </w:r>
          </w:p>
        </w:tc>
        <w:tc>
          <w:tcPr>
            <w:tcW w:type="dxa" w:w="6800"/>
            <w:shd w:fill="F8FAFC" w:val="clear"/>
            <w:tcMar>
              <w:top w:type="dxa" w:w="80"/>
              <w:left w:type="dxa" w:w="100"/>
              <w:bottom w:type="dxa" w:w="80"/>
              <w:right w:type="dxa" w:w="100"/>
            </w:tcMar>
          </w:tcPr>
          <w:p>
            <w:r>
              <w:rPr>
                <w:b w:val="false"/>
                <w:bCs w:val="false"/>
              </w:rPr>
              <w:t xml:space="preserve">Store Requisition — Model 20. A department’s request for materials.</w:t>
            </w:r>
          </w:p>
        </w:tc>
      </w:tr>
      <w:tr>
        <w:tc>
          <w:tcPr>
            <w:tcW w:type="dxa" w:w="2600"/>
            <w:tcMar>
              <w:top w:type="dxa" w:w="80"/>
              <w:left w:type="dxa" w:w="100"/>
              <w:bottom w:type="dxa" w:w="80"/>
              <w:right w:type="dxa" w:w="100"/>
            </w:tcMar>
          </w:tcPr>
          <w:p>
            <w:r>
              <w:rPr>
                <w:b w:val="false"/>
                <w:bCs w:val="false"/>
              </w:rPr>
              <w:t xml:space="preserve">SIV / ISIV</w:t>
            </w:r>
          </w:p>
        </w:tc>
        <w:tc>
          <w:tcPr>
            <w:tcW w:type="dxa" w:w="6800"/>
            <w:tcMar>
              <w:top w:type="dxa" w:w="80"/>
              <w:left w:type="dxa" w:w="100"/>
              <w:bottom w:type="dxa" w:w="80"/>
              <w:right w:type="dxa" w:w="100"/>
            </w:tcMar>
          </w:tcPr>
          <w:p>
            <w:r>
              <w:rPr>
                <w:b w:val="false"/>
                <w:bCs w:val="false"/>
              </w:rPr>
              <w:t xml:space="preserve">Store Issue Voucher / Inter-Store Issue Voucher — Model 22. Authorizes and records issue of materials.</w:t>
            </w:r>
          </w:p>
        </w:tc>
      </w:tr>
      <w:tr>
        <w:tc>
          <w:tcPr>
            <w:tcW w:type="dxa" w:w="2600"/>
            <w:shd w:fill="F8FAFC" w:val="clear"/>
            <w:tcMar>
              <w:top w:type="dxa" w:w="80"/>
              <w:left w:type="dxa" w:w="100"/>
              <w:bottom w:type="dxa" w:w="80"/>
              <w:right w:type="dxa" w:w="100"/>
            </w:tcMar>
          </w:tcPr>
          <w:p>
            <w:r>
              <w:rPr>
                <w:b w:val="false"/>
                <w:bCs w:val="false"/>
              </w:rPr>
              <w:t xml:space="preserve">SRN</w:t>
            </w:r>
          </w:p>
        </w:tc>
        <w:tc>
          <w:tcPr>
            <w:tcW w:type="dxa" w:w="6800"/>
            <w:shd w:fill="F8FAFC" w:val="clear"/>
            <w:tcMar>
              <w:top w:type="dxa" w:w="80"/>
              <w:left w:type="dxa" w:w="100"/>
              <w:bottom w:type="dxa" w:w="80"/>
              <w:right w:type="dxa" w:w="100"/>
            </w:tcMar>
          </w:tcPr>
          <w:p>
            <w:r>
              <w:rPr>
                <w:b w:val="false"/>
                <w:bCs w:val="false"/>
              </w:rPr>
              <w:t xml:space="preserve">Store Return Note. Evidence that materials were returned to store by a department.</w:t>
            </w:r>
          </w:p>
        </w:tc>
      </w:tr>
      <w:tr>
        <w:tc>
          <w:tcPr>
            <w:tcW w:type="dxa" w:w="2600"/>
            <w:tcMar>
              <w:top w:type="dxa" w:w="80"/>
              <w:left w:type="dxa" w:w="100"/>
              <w:bottom w:type="dxa" w:w="80"/>
              <w:right w:type="dxa" w:w="100"/>
            </w:tcMar>
          </w:tcPr>
          <w:p>
            <w:r>
              <w:rPr>
                <w:b w:val="false"/>
                <w:bCs w:val="false"/>
              </w:rPr>
              <w:t xml:space="preserve">Bin Card</w:t>
            </w:r>
          </w:p>
        </w:tc>
        <w:tc>
          <w:tcPr>
            <w:tcW w:type="dxa" w:w="6800"/>
            <w:tcMar>
              <w:top w:type="dxa" w:w="80"/>
              <w:left w:type="dxa" w:w="100"/>
              <w:bottom w:type="dxa" w:w="80"/>
              <w:right w:type="dxa" w:w="100"/>
            </w:tcMar>
          </w:tcPr>
          <w:p>
            <w:r>
              <w:rPr>
                <w:b w:val="false"/>
                <w:bCs w:val="false"/>
              </w:rPr>
              <w:t xml:space="preserve">Quantity-only record kept with the physical stock at its storage location.</w:t>
            </w:r>
          </w:p>
        </w:tc>
      </w:tr>
      <w:tr>
        <w:tc>
          <w:tcPr>
            <w:tcW w:type="dxa" w:w="2600"/>
            <w:shd w:fill="F8FAFC" w:val="clear"/>
            <w:tcMar>
              <w:top w:type="dxa" w:w="80"/>
              <w:left w:type="dxa" w:w="100"/>
              <w:bottom w:type="dxa" w:w="80"/>
              <w:right w:type="dxa" w:w="100"/>
            </w:tcMar>
          </w:tcPr>
          <w:p>
            <w:r>
              <w:rPr>
                <w:b w:val="false"/>
                <w:bCs w:val="false"/>
              </w:rPr>
              <w:t xml:space="preserve">Stock Record Card</w:t>
            </w:r>
          </w:p>
        </w:tc>
        <w:tc>
          <w:tcPr>
            <w:tcW w:type="dxa" w:w="6800"/>
            <w:shd w:fill="F8FAFC" w:val="clear"/>
            <w:tcMar>
              <w:top w:type="dxa" w:w="80"/>
              <w:left w:type="dxa" w:w="100"/>
              <w:bottom w:type="dxa" w:w="80"/>
              <w:right w:type="dxa" w:w="100"/>
            </w:tcMar>
          </w:tcPr>
          <w:p>
            <w:r>
              <w:rPr>
                <w:b w:val="false"/>
                <w:bCs w:val="false"/>
              </w:rPr>
              <w:t xml:space="preserve">Quantity + value ledger kept centrally, valued on a FIFO basis.</w:t>
            </w:r>
          </w:p>
        </w:tc>
      </w:tr>
      <w:tr>
        <w:tc>
          <w:tcPr>
            <w:tcW w:type="dxa" w:w="2600"/>
            <w:tcMar>
              <w:top w:type="dxa" w:w="80"/>
              <w:left w:type="dxa" w:w="100"/>
              <w:bottom w:type="dxa" w:w="80"/>
              <w:right w:type="dxa" w:w="100"/>
            </w:tcMar>
          </w:tcPr>
          <w:p>
            <w:r>
              <w:rPr>
                <w:b w:val="false"/>
                <w:bCs w:val="false"/>
              </w:rPr>
              <w:t xml:space="preserve">TEC</w:t>
            </w:r>
          </w:p>
        </w:tc>
        <w:tc>
          <w:tcPr>
            <w:tcW w:type="dxa" w:w="6800"/>
            <w:tcMar>
              <w:top w:type="dxa" w:w="80"/>
              <w:left w:type="dxa" w:w="100"/>
              <w:bottom w:type="dxa" w:w="80"/>
              <w:right w:type="dxa" w:w="100"/>
            </w:tcMar>
          </w:tcPr>
          <w:p>
            <w:r>
              <w:rPr>
                <w:b w:val="false"/>
                <w:bCs w:val="false"/>
              </w:rPr>
              <w:t xml:space="preserve">Technical Evaluation Committee — inspects and approves/rejects received materials before a GRN is finalized.</w:t>
            </w:r>
          </w:p>
        </w:tc>
      </w:tr>
      <w:tr>
        <w:tc>
          <w:tcPr>
            <w:tcW w:type="dxa" w:w="2600"/>
            <w:shd w:fill="F8FAFC" w:val="clear"/>
            <w:tcMar>
              <w:top w:type="dxa" w:w="80"/>
              <w:left w:type="dxa" w:w="100"/>
              <w:bottom w:type="dxa" w:w="80"/>
              <w:right w:type="dxa" w:w="100"/>
            </w:tcMar>
          </w:tcPr>
          <w:p>
            <w:r>
              <w:rPr>
                <w:b w:val="false"/>
                <w:bCs w:val="false"/>
              </w:rPr>
              <w:t xml:space="preserve">PAO</w:t>
            </w:r>
          </w:p>
        </w:tc>
        <w:tc>
          <w:tcPr>
            <w:tcW w:type="dxa" w:w="6800"/>
            <w:shd w:fill="F8FAFC" w:val="clear"/>
            <w:tcMar>
              <w:top w:type="dxa" w:w="80"/>
              <w:left w:type="dxa" w:w="100"/>
              <w:bottom w:type="dxa" w:w="80"/>
              <w:right w:type="dxa" w:w="100"/>
            </w:tcMar>
          </w:tcPr>
          <w:p>
            <w:r>
              <w:rPr>
                <w:b w:val="false"/>
                <w:bCs w:val="false"/>
              </w:rPr>
              <w:t xml:space="preserve">Property Administration Officer — supervisory role approving requisitions, transfers, and monitoring overall stock activity.</w:t>
            </w:r>
          </w:p>
        </w:tc>
      </w:tr>
    </w:tbl>
    <w:p>
      <w:pPr>
        <w:pStyle w:val="Heading1"/>
        <w:spacing w:after="160" w:before="360"/>
      </w:pPr>
      <w:r>
        <w:t xml:space="preserve">2. Business Analysis Review of the Submitted Use Cases</w:t>
      </w:r>
    </w:p>
    <w:p>
      <w:pPr>
        <w:spacing w:after="160"/>
      </w:pPr>
      <w:r>
        <w:t xml:space="preserve">This section reviews the 26 use cases as submitted, flags ambiguities, proposes consolidations where two use cases are really one screen/workflow, and lists use cases the manual and SRS imply but that were not explicitly listed. Adjustments made are marked with a change indicator.</w:t>
      </w:r>
    </w:p>
    <w:p>
      <w:pPr>
        <w:pStyle w:val="Heading2"/>
        <w:spacing w:after="120" w:before="280"/>
      </w:pPr>
      <w:r>
        <w:t xml:space="preserve">2.1 Observations on the Original List</w:t>
      </w:r>
    </w:p>
    <w:p>
      <w:pPr>
        <w:pStyle w:val="ListParagraph"/>
        <w:numPr>
          <w:ilvl w:val="0"/>
          <w:numId w:val="1"/>
        </w:numPr>
        <w:spacing w:after="80"/>
      </w:pPr>
      <w:r>
        <w:t xml:space="preserve">UC4–UC6 (Goods Receipt → Evaluation → GRN generation) are one continuous workflow with three status states, not three independent screens. They are implemented as two frontend pages (Goods Receipt, and Technical Evaluation) with the GRN auto-generating once evaluation is approved — this avoids a redundant third “generate GRN” button the user would otherwise have to remember to click.</w:t>
      </w:r>
    </w:p>
    <w:p>
      <w:pPr>
        <w:pStyle w:val="ListParagraph"/>
        <w:numPr>
          <w:ilvl w:val="0"/>
          <w:numId w:val="1"/>
        </w:numPr>
        <w:spacing w:after="80"/>
      </w:pPr>
      <w:r>
        <w:t xml:space="preserve">UC7 (Auto-Update Stock Card) is a system behavior, not a user-facing screen by itself. It is implemented as the effect of every receipt/issue/return/transfer transaction, with UC8 (View Stock Card) as the actual screen.</w:t>
      </w:r>
    </w:p>
    <w:p>
      <w:pPr>
        <w:pStyle w:val="ListParagraph"/>
        <w:numPr>
          <w:ilvl w:val="0"/>
          <w:numId w:val="1"/>
        </w:numPr>
        <w:spacing w:after="80"/>
      </w:pPr>
      <w:r>
        <w:t xml:space="preserve">UC9 (Manage Bin Card) is described as auto-generated and system-maintained; the frontend therefore treats it as a read-only report page (like Stock Card) rather than a manual CRUD form. If department stores need to manually correct a bin card after a physical stock take, that should be raised with the backend team as an additional “bin card adjustment” endpoint — flagged as an open question in Section 9.</w:t>
      </w:r>
    </w:p>
    <w:p>
      <w:pPr>
        <w:pStyle w:val="ListParagraph"/>
        <w:numPr>
          <w:ilvl w:val="0"/>
          <w:numId w:val="1"/>
        </w:numPr>
        <w:spacing w:after="80"/>
      </w:pPr>
      <w:r>
        <w:t xml:space="preserve">UC11 and UC12 (Manage Requisition / Approve-Reject Requisition) are combined into one Store Requisitions page with an inline approve/reject action, matching how the PAO actually works — reviewing a list and approving from the same screen — rather than a separate “approval queue” screen. If your team prefers a dedicated approval queue restricted to the PAO role, that is a one-page addition using the same components.</w:t>
      </w:r>
    </w:p>
    <w:p>
      <w:pPr>
        <w:pStyle w:val="ListParagraph"/>
        <w:numPr>
          <w:ilvl w:val="0"/>
          <w:numId w:val="1"/>
        </w:numPr>
        <w:spacing w:after="80"/>
      </w:pPr>
      <w:r>
        <w:t xml:space="preserve">UC13–15 (Create SIV/ISIV, Approve and Amend, Generate) are collapsed into one “Issue Vouchers” page: a voucher is generated directly from an approved requisition (the manual’s Model 22 is prepared only after the requisition/Model 20 is approved), which removes an “ampend” state that the manual does not actually describe as a separate step. If amendment-after-issue is a real business need at your university store, that should be confirmed with the store head — flagged in Section 9.</w:t>
      </w:r>
    </w:p>
    <w:p>
      <w:pPr>
        <w:pStyle w:val="ListParagraph"/>
        <w:numPr>
          <w:ilvl w:val="0"/>
          <w:numId w:val="1"/>
        </w:numPr>
        <w:spacing w:after="80"/>
      </w:pPr>
      <w:r>
        <w:t xml:space="preserve">UC18–20 (Create SRN, Record Technical Evaluation Result, Approve/Reject Return) mirror the Goods Receipt → Evaluation pattern exactly. The frontend reuses the same status vocabulary (Pending → Under Evaluation → Approved/Rejected) for consistency, implemented as one Material Returns page.</w:t>
      </w:r>
    </w:p>
    <w:p>
      <w:pPr>
        <w:pStyle w:val="ListParagraph"/>
        <w:numPr>
          <w:ilvl w:val="0"/>
          <w:numId w:val="1"/>
        </w:numPr>
        <w:spacing w:after="80"/>
      </w:pPr>
      <w:r>
        <w:t xml:space="preserve">UC21–22 (Initiate/Approve Material Transfer) is one Material Transfers page with an approve/reject action, same pattern as requisitions.</w:t>
      </w:r>
    </w:p>
    <w:p>
      <w:pPr>
        <w:pStyle w:val="ListParagraph"/>
        <w:numPr>
          <w:ilvl w:val="0"/>
          <w:numId w:val="1"/>
        </w:numPr>
        <w:spacing w:after="80"/>
      </w:pPr>
      <w:r>
        <w:t xml:space="preserve">UC23–26 (Auto-Monitor Shelf Life, Flag for Disposal, Manage Disposal Request, Manage Disposal Workflow) are consolidated into one Disposal Management page. Shelf-life auto-monitoring (UC23) is a backend scheduled job, not a screen; its output (items nearing expiry) surfaces as a filtered view within this page — flagged as a backend dependency in Section 9.</w:t>
      </w:r>
    </w:p>
    <w:p>
      <w:pPr>
        <w:pStyle w:val="Heading2"/>
        <w:spacing w:after="120" w:before="280"/>
      </w:pPr>
      <w:r>
        <w:t xml:space="preserve">2.2 Use Cases Implied but Not in the Original List</w:t>
      </w:r>
    </w:p>
    <w:p>
      <w:pPr>
        <w:spacing w:after="160"/>
      </w:pPr>
      <w:r>
        <w:t xml:space="preserve">The following were added because they are prerequisites for the 26 listed use cases to function as a usable system, consistent with SRS Chapter 3 (Functional Requirements):</w:t>
      </w:r>
    </w:p>
    <w:p>
      <w:pPr>
        <w:pStyle w:val="ListParagraph"/>
        <w:numPr>
          <w:ilvl w:val="0"/>
          <w:numId w:val="1"/>
        </w:numPr>
        <w:spacing w:after="80"/>
      </w:pPr>
      <w:r>
        <w:t xml:space="preserve">Login / Logout — authentication is a precondition for every other use case (SRS 3.4.3).</w:t>
      </w:r>
    </w:p>
    <w:p>
      <w:pPr>
        <w:pStyle w:val="ListParagraph"/>
        <w:numPr>
          <w:ilvl w:val="0"/>
          <w:numId w:val="1"/>
        </w:numPr>
        <w:spacing w:after="80"/>
      </w:pPr>
      <w:r>
        <w:t xml:space="preserve">Dashboard — SRS section 4.4.9 explicitly specifies a dashboard with inventory count, low-stock alerts, recent transactions and report summary.</w:t>
      </w:r>
    </w:p>
    <w:p>
      <w:pPr>
        <w:pStyle w:val="ListParagraph"/>
        <w:numPr>
          <w:ilvl w:val="0"/>
          <w:numId w:val="1"/>
        </w:numPr>
        <w:spacing w:after="80"/>
      </w:pPr>
      <w:r>
        <w:t xml:space="preserve">Report Generation (inventory, low-stock, stock movement, GRN status, requisition status) — SRS 3.1 “Report Management” and 4.4.9 “Reports Page”.</w:t>
      </w:r>
    </w:p>
    <w:p>
      <w:pPr>
        <w:pStyle w:val="ListParagraph"/>
        <w:numPr>
          <w:ilvl w:val="0"/>
          <w:numId w:val="1"/>
        </w:numPr>
        <w:spacing w:after="80"/>
      </w:pPr>
      <w:r>
        <w:t xml:space="preserve">Audit Log viewing — SRS 3.1 “Audit Management” and 3.2 security requirement “the system shall maintain audit logs”.</w:t>
      </w:r>
    </w:p>
    <w:p>
      <w:pPr>
        <w:pStyle w:val="Heading2"/>
        <w:spacing w:after="120" w:before="280"/>
      </w:pPr>
      <w:r>
        <w:t xml:space="preserve">2.3 Final Consolidated Module List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5600"/>
      </w:tblGrid>
      <w:tr>
        <w:trPr>
          <w:tblHeader/>
        </w:trPr>
        <w:tc>
          <w:tcPr>
            <w:tcW w:type="dxa" w:w="500"/>
            <w:shd w:fill="1D4ED8" w:val="clear"/>
            <w:tcMar>
              <w:top w:type="dxa" w:w="80"/>
              <w:left w:type="dxa" w:w="100"/>
              <w:bottom w:type="dxa" w:w="80"/>
              <w:right w:type="dxa" w:w="100"/>
            </w:tcMar>
          </w:tcPr>
          <w:p>
            <w:r>
              <w:rPr>
                <w:b/>
                <w:bCs/>
                <w:color w:val="FFFFFF"/>
              </w:rPr>
              <w:t xml:space="preserve">#</w:t>
            </w:r>
          </w:p>
        </w:tc>
        <w:tc>
          <w:tcPr>
            <w:tcW w:type="dxa" w:w="3300"/>
            <w:shd w:fill="1D4ED8" w:val="clear"/>
            <w:tcMar>
              <w:top w:type="dxa" w:w="80"/>
              <w:left w:type="dxa" w:w="100"/>
              <w:bottom w:type="dxa" w:w="80"/>
              <w:right w:type="dxa" w:w="100"/>
            </w:tcMar>
          </w:tcPr>
          <w:p>
            <w:r>
              <w:rPr>
                <w:b/>
                <w:bCs/>
                <w:color w:val="FFFFFF"/>
              </w:rPr>
              <w:t xml:space="preserve">Frontend Module</w:t>
            </w:r>
          </w:p>
        </w:tc>
        <w:tc>
          <w:tcPr>
            <w:tcW w:type="dxa" w:w="5600"/>
            <w:shd w:fill="1D4ED8" w:val="clear"/>
            <w:tcMar>
              <w:top w:type="dxa" w:w="80"/>
              <w:left w:type="dxa" w:w="100"/>
              <w:bottom w:type="dxa" w:w="80"/>
              <w:right w:type="dxa" w:w="100"/>
            </w:tcMar>
          </w:tcPr>
          <w:p>
            <w:r>
              <w:rPr>
                <w:b/>
                <w:bCs/>
                <w:color w:val="FFFFFF"/>
              </w:rPr>
              <w:t xml:space="preserve">Original Use Case(s) Covered</w:t>
            </w:r>
          </w:p>
        </w:tc>
      </w:tr>
      <w:tr>
        <w:tc>
          <w:tcPr>
            <w:tcW w:type="dxa" w:w="500"/>
            <w:tcMar>
              <w:top w:type="dxa" w:w="80"/>
              <w:left w:type="dxa" w:w="100"/>
              <w:bottom w:type="dxa" w:w="80"/>
              <w:right w:type="dxa" w:w="100"/>
            </w:tcMar>
          </w:tcPr>
          <w:p>
            <w:r>
              <w:rPr>
                <w:b w:val="false"/>
                <w:bCs w:val="false"/>
              </w:rPr>
              <w:t xml:space="preserve">1</w:t>
            </w:r>
          </w:p>
        </w:tc>
        <w:tc>
          <w:tcPr>
            <w:tcW w:type="dxa" w:w="3300"/>
            <w:tcMar>
              <w:top w:type="dxa" w:w="80"/>
              <w:left w:type="dxa" w:w="100"/>
              <w:bottom w:type="dxa" w:w="80"/>
              <w:right w:type="dxa" w:w="100"/>
            </w:tcMar>
          </w:tcPr>
          <w:p>
            <w:r>
              <w:rPr>
                <w:b w:val="false"/>
                <w:bCs w:val="false"/>
              </w:rPr>
              <w:t xml:space="preserve">Authentication</w:t>
            </w:r>
          </w:p>
        </w:tc>
        <w:tc>
          <w:tcPr>
            <w:tcW w:type="dxa" w:w="5600"/>
            <w:tcMar>
              <w:top w:type="dxa" w:w="80"/>
              <w:left w:type="dxa" w:w="100"/>
              <w:bottom w:type="dxa" w:w="80"/>
              <w:right w:type="dxa" w:w="100"/>
            </w:tcMar>
          </w:tcPr>
          <w:p>
            <w:r>
              <w:rPr>
                <w:b w:val="false"/>
                <w:bCs w:val="false"/>
              </w:rPr>
              <w:t xml:space="preserve">Login / Logout (added)</w:t>
            </w:r>
          </w:p>
        </w:tc>
      </w:tr>
      <w:tr>
        <w:tc>
          <w:tcPr>
            <w:tcW w:type="dxa" w:w="500"/>
            <w:shd w:fill="F8FAFC" w:val="clear"/>
            <w:tcMar>
              <w:top w:type="dxa" w:w="80"/>
              <w:left w:type="dxa" w:w="100"/>
              <w:bottom w:type="dxa" w:w="80"/>
              <w:right w:type="dxa" w:w="100"/>
            </w:tcMar>
          </w:tcPr>
          <w:p>
            <w:r>
              <w:rPr>
                <w:b w:val="false"/>
                <w:bCs w:val="false"/>
              </w:rPr>
              <w:t xml:space="preserve">2</w:t>
            </w:r>
          </w:p>
        </w:tc>
        <w:tc>
          <w:tcPr>
            <w:tcW w:type="dxa" w:w="3300"/>
            <w:shd w:fill="F8FAFC" w:val="clear"/>
            <w:tcMar>
              <w:top w:type="dxa" w:w="80"/>
              <w:left w:type="dxa" w:w="100"/>
              <w:bottom w:type="dxa" w:w="80"/>
              <w:right w:type="dxa" w:w="100"/>
            </w:tcMar>
          </w:tcPr>
          <w:p>
            <w:r>
              <w:rPr>
                <w:b w:val="false"/>
                <w:bCs w:val="false"/>
              </w:rPr>
              <w:t xml:space="preserve">Dashboard</w:t>
            </w:r>
          </w:p>
        </w:tc>
        <w:tc>
          <w:tcPr>
            <w:tcW w:type="dxa" w:w="5600"/>
            <w:shd w:fill="F8FAFC" w:val="clear"/>
            <w:tcMar>
              <w:top w:type="dxa" w:w="80"/>
              <w:left w:type="dxa" w:w="100"/>
              <w:bottom w:type="dxa" w:w="80"/>
              <w:right w:type="dxa" w:w="100"/>
            </w:tcMar>
          </w:tcPr>
          <w:p>
            <w:r>
              <w:rPr>
                <w:b w:val="false"/>
                <w:bCs w:val="false"/>
              </w:rPr>
              <w:t xml:space="preserve">Added — SRS 4.4.9</w:t>
            </w:r>
          </w:p>
        </w:tc>
      </w:tr>
      <w:tr>
        <w:tc>
          <w:tcPr>
            <w:tcW w:type="dxa" w:w="500"/>
            <w:tcMar>
              <w:top w:type="dxa" w:w="80"/>
              <w:left w:type="dxa" w:w="100"/>
              <w:bottom w:type="dxa" w:w="80"/>
              <w:right w:type="dxa" w:w="100"/>
            </w:tcMar>
          </w:tcPr>
          <w:p>
            <w:r>
              <w:rPr>
                <w:b w:val="false"/>
                <w:bCs w:val="false"/>
              </w:rPr>
              <w:t xml:space="preserve">3</w:t>
            </w:r>
          </w:p>
        </w:tc>
        <w:tc>
          <w:tcPr>
            <w:tcW w:type="dxa" w:w="3300"/>
            <w:tcMar>
              <w:top w:type="dxa" w:w="80"/>
              <w:left w:type="dxa" w:w="100"/>
              <w:bottom w:type="dxa" w:w="80"/>
              <w:right w:type="dxa" w:w="100"/>
            </w:tcMar>
          </w:tcPr>
          <w:p>
            <w:r>
              <w:rPr>
                <w:b w:val="false"/>
                <w:bCs w:val="false"/>
              </w:rPr>
              <w:t xml:space="preserve">Stores</w:t>
            </w:r>
          </w:p>
        </w:tc>
        <w:tc>
          <w:tcPr>
            <w:tcW w:type="dxa" w:w="5600"/>
            <w:tcMar>
              <w:top w:type="dxa" w:w="80"/>
              <w:left w:type="dxa" w:w="100"/>
              <w:bottom w:type="dxa" w:w="80"/>
              <w:right w:type="dxa" w:w="100"/>
            </w:tcMar>
          </w:tcPr>
          <w:p>
            <w:r>
              <w:rPr>
                <w:b w:val="false"/>
                <w:bCs w:val="false"/>
              </w:rPr>
              <w:t xml:space="preserve">UC1</w:t>
            </w:r>
          </w:p>
        </w:tc>
      </w:tr>
      <w:tr>
        <w:tc>
          <w:tcPr>
            <w:tcW w:type="dxa" w:w="500"/>
            <w:shd w:fill="F8FAFC" w:val="clear"/>
            <w:tcMar>
              <w:top w:type="dxa" w:w="80"/>
              <w:left w:type="dxa" w:w="100"/>
              <w:bottom w:type="dxa" w:w="80"/>
              <w:right w:type="dxa" w:w="100"/>
            </w:tcMar>
          </w:tcPr>
          <w:p>
            <w:r>
              <w:rPr>
                <w:b w:val="false"/>
                <w:bCs w:val="false"/>
              </w:rPr>
              <w:t xml:space="preserve">4</w:t>
            </w:r>
          </w:p>
        </w:tc>
        <w:tc>
          <w:tcPr>
            <w:tcW w:type="dxa" w:w="3300"/>
            <w:shd w:fill="F8FAFC" w:val="clear"/>
            <w:tcMar>
              <w:top w:type="dxa" w:w="80"/>
              <w:left w:type="dxa" w:w="100"/>
              <w:bottom w:type="dxa" w:w="80"/>
              <w:right w:type="dxa" w:w="100"/>
            </w:tcMar>
          </w:tcPr>
          <w:p>
            <w:r>
              <w:rPr>
                <w:b w:val="false"/>
                <w:bCs w:val="false"/>
              </w:rPr>
              <w:t xml:space="preserve">Item Categories</w:t>
            </w:r>
          </w:p>
        </w:tc>
        <w:tc>
          <w:tcPr>
            <w:tcW w:type="dxa" w:w="5600"/>
            <w:shd w:fill="F8FAFC" w:val="clear"/>
            <w:tcMar>
              <w:top w:type="dxa" w:w="80"/>
              <w:left w:type="dxa" w:w="100"/>
              <w:bottom w:type="dxa" w:w="80"/>
              <w:right w:type="dxa" w:w="100"/>
            </w:tcMar>
          </w:tcPr>
          <w:p>
            <w:r>
              <w:rPr>
                <w:b w:val="false"/>
                <w:bCs w:val="false"/>
              </w:rPr>
              <w:t xml:space="preserve">UC2</w:t>
            </w:r>
          </w:p>
        </w:tc>
      </w:tr>
      <w:tr>
        <w:tc>
          <w:tcPr>
            <w:tcW w:type="dxa" w:w="500"/>
            <w:tcMar>
              <w:top w:type="dxa" w:w="80"/>
              <w:left w:type="dxa" w:w="100"/>
              <w:bottom w:type="dxa" w:w="80"/>
              <w:right w:type="dxa" w:w="100"/>
            </w:tcMar>
          </w:tcPr>
          <w:p>
            <w:r>
              <w:rPr>
                <w:b w:val="false"/>
                <w:bCs w:val="false"/>
              </w:rPr>
              <w:t xml:space="preserve">5</w:t>
            </w:r>
          </w:p>
        </w:tc>
        <w:tc>
          <w:tcPr>
            <w:tcW w:type="dxa" w:w="3300"/>
            <w:tcMar>
              <w:top w:type="dxa" w:w="80"/>
              <w:left w:type="dxa" w:w="100"/>
              <w:bottom w:type="dxa" w:w="80"/>
              <w:right w:type="dxa" w:w="100"/>
            </w:tcMar>
          </w:tcPr>
          <w:p>
            <w:r>
              <w:rPr>
                <w:b w:val="false"/>
                <w:bCs w:val="false"/>
              </w:rPr>
              <w:t xml:space="preserve">Items &amp; Locations</w:t>
            </w:r>
          </w:p>
        </w:tc>
        <w:tc>
          <w:tcPr>
            <w:tcW w:type="dxa" w:w="5600"/>
            <w:tcMar>
              <w:top w:type="dxa" w:w="80"/>
              <w:left w:type="dxa" w:w="100"/>
              <w:bottom w:type="dxa" w:w="80"/>
              <w:right w:type="dxa" w:w="100"/>
            </w:tcMar>
          </w:tcPr>
          <w:p>
            <w:r>
              <w:rPr>
                <w:b w:val="false"/>
                <w:bCs w:val="false"/>
              </w:rPr>
              <w:t xml:space="preserve">UC3</w:t>
            </w:r>
          </w:p>
        </w:tc>
      </w:tr>
      <w:tr>
        <w:tc>
          <w:tcPr>
            <w:tcW w:type="dxa" w:w="500"/>
            <w:shd w:fill="F8FAFC" w:val="clear"/>
            <w:tcMar>
              <w:top w:type="dxa" w:w="80"/>
              <w:left w:type="dxa" w:w="100"/>
              <w:bottom w:type="dxa" w:w="80"/>
              <w:right w:type="dxa" w:w="100"/>
            </w:tcMar>
          </w:tcPr>
          <w:p>
            <w:r>
              <w:rPr>
                <w:b w:val="false"/>
                <w:bCs w:val="false"/>
              </w:rPr>
              <w:t xml:space="preserve">6</w:t>
            </w:r>
          </w:p>
        </w:tc>
        <w:tc>
          <w:tcPr>
            <w:tcW w:type="dxa" w:w="3300"/>
            <w:shd w:fill="F8FAFC" w:val="clear"/>
            <w:tcMar>
              <w:top w:type="dxa" w:w="80"/>
              <w:left w:type="dxa" w:w="100"/>
              <w:bottom w:type="dxa" w:w="80"/>
              <w:right w:type="dxa" w:w="100"/>
            </w:tcMar>
          </w:tcPr>
          <w:p>
            <w:r>
              <w:rPr>
                <w:b w:val="false"/>
                <w:bCs w:val="false"/>
              </w:rPr>
              <w:t xml:space="preserve">Goods Receipt</w:t>
            </w:r>
          </w:p>
        </w:tc>
        <w:tc>
          <w:tcPr>
            <w:tcW w:type="dxa" w:w="5600"/>
            <w:shd w:fill="F8FAFC" w:val="clear"/>
            <w:tcMar>
              <w:top w:type="dxa" w:w="80"/>
              <w:left w:type="dxa" w:w="100"/>
              <w:bottom w:type="dxa" w:w="80"/>
              <w:right w:type="dxa" w:w="100"/>
            </w:tcMar>
          </w:tcPr>
          <w:p>
            <w:r>
              <w:rPr>
                <w:b w:val="false"/>
                <w:bCs w:val="false"/>
              </w:rPr>
              <w:t xml:space="preserve">UC4, UC6 (receipt + GRN generation)</w:t>
            </w:r>
          </w:p>
        </w:tc>
      </w:tr>
      <w:tr>
        <w:tc>
          <w:tcPr>
            <w:tcW w:type="dxa" w:w="500"/>
            <w:tcMar>
              <w:top w:type="dxa" w:w="80"/>
              <w:left w:type="dxa" w:w="100"/>
              <w:bottom w:type="dxa" w:w="80"/>
              <w:right w:type="dxa" w:w="100"/>
            </w:tcMar>
          </w:tcPr>
          <w:p>
            <w:r>
              <w:rPr>
                <w:b w:val="false"/>
                <w:bCs w:val="false"/>
              </w:rPr>
              <w:t xml:space="preserve">7</w:t>
            </w:r>
          </w:p>
        </w:tc>
        <w:tc>
          <w:tcPr>
            <w:tcW w:type="dxa" w:w="3300"/>
            <w:tcMar>
              <w:top w:type="dxa" w:w="80"/>
              <w:left w:type="dxa" w:w="100"/>
              <w:bottom w:type="dxa" w:w="80"/>
              <w:right w:type="dxa" w:w="100"/>
            </w:tcMar>
          </w:tcPr>
          <w:p>
            <w:r>
              <w:rPr>
                <w:b w:val="false"/>
                <w:bCs w:val="false"/>
              </w:rPr>
              <w:t xml:space="preserve">Technical Evaluation</w:t>
            </w:r>
          </w:p>
        </w:tc>
        <w:tc>
          <w:tcPr>
            <w:tcW w:type="dxa" w:w="5600"/>
            <w:tcMar>
              <w:top w:type="dxa" w:w="80"/>
              <w:left w:type="dxa" w:w="100"/>
              <w:bottom w:type="dxa" w:w="80"/>
              <w:right w:type="dxa" w:w="100"/>
            </w:tcMar>
          </w:tcPr>
          <w:p>
            <w:r>
              <w:rPr>
                <w:b w:val="false"/>
                <w:bCs w:val="false"/>
              </w:rPr>
              <w:t xml:space="preserve">UC5</w:t>
            </w:r>
          </w:p>
        </w:tc>
      </w:tr>
      <w:tr>
        <w:tc>
          <w:tcPr>
            <w:tcW w:type="dxa" w:w="500"/>
            <w:shd w:fill="F8FAFC" w:val="clear"/>
            <w:tcMar>
              <w:top w:type="dxa" w:w="80"/>
              <w:left w:type="dxa" w:w="100"/>
              <w:bottom w:type="dxa" w:w="80"/>
              <w:right w:type="dxa" w:w="100"/>
            </w:tcMar>
          </w:tcPr>
          <w:p>
            <w:r>
              <w:rPr>
                <w:b w:val="false"/>
                <w:bCs w:val="false"/>
              </w:rPr>
              <w:t xml:space="preserve">8</w:t>
            </w:r>
          </w:p>
        </w:tc>
        <w:tc>
          <w:tcPr>
            <w:tcW w:type="dxa" w:w="3300"/>
            <w:shd w:fill="F8FAFC" w:val="clear"/>
            <w:tcMar>
              <w:top w:type="dxa" w:w="80"/>
              <w:left w:type="dxa" w:w="100"/>
              <w:bottom w:type="dxa" w:w="80"/>
              <w:right w:type="dxa" w:w="100"/>
            </w:tcMar>
          </w:tcPr>
          <w:p>
            <w:r>
              <w:rPr>
                <w:b w:val="false"/>
                <w:bCs w:val="false"/>
              </w:rPr>
              <w:t xml:space="preserve">Stock Cards</w:t>
            </w:r>
          </w:p>
        </w:tc>
        <w:tc>
          <w:tcPr>
            <w:tcW w:type="dxa" w:w="5600"/>
            <w:shd w:fill="F8FAFC" w:val="clear"/>
            <w:tcMar>
              <w:top w:type="dxa" w:w="80"/>
              <w:left w:type="dxa" w:w="100"/>
              <w:bottom w:type="dxa" w:w="80"/>
              <w:right w:type="dxa" w:w="100"/>
            </w:tcMar>
          </w:tcPr>
          <w:p>
            <w:r>
              <w:rPr>
                <w:b w:val="false"/>
                <w:bCs w:val="false"/>
              </w:rPr>
              <w:t xml:space="preserve">UC7, UC8</w:t>
            </w:r>
          </w:p>
        </w:tc>
      </w:tr>
      <w:tr>
        <w:tc>
          <w:tcPr>
            <w:tcW w:type="dxa" w:w="500"/>
            <w:tcMar>
              <w:top w:type="dxa" w:w="80"/>
              <w:left w:type="dxa" w:w="100"/>
              <w:bottom w:type="dxa" w:w="80"/>
              <w:right w:type="dxa" w:w="100"/>
            </w:tcMar>
          </w:tcPr>
          <w:p>
            <w:r>
              <w:rPr>
                <w:b w:val="false"/>
                <w:bCs w:val="false"/>
              </w:rPr>
              <w:t xml:space="preserve">9</w:t>
            </w:r>
          </w:p>
        </w:tc>
        <w:tc>
          <w:tcPr>
            <w:tcW w:type="dxa" w:w="3300"/>
            <w:tcMar>
              <w:top w:type="dxa" w:w="80"/>
              <w:left w:type="dxa" w:w="100"/>
              <w:bottom w:type="dxa" w:w="80"/>
              <w:right w:type="dxa" w:w="100"/>
            </w:tcMar>
          </w:tcPr>
          <w:p>
            <w:r>
              <w:rPr>
                <w:b w:val="false"/>
                <w:bCs w:val="false"/>
              </w:rPr>
              <w:t xml:space="preserve">Bin Cards</w:t>
            </w:r>
          </w:p>
        </w:tc>
        <w:tc>
          <w:tcPr>
            <w:tcW w:type="dxa" w:w="5600"/>
            <w:tcMar>
              <w:top w:type="dxa" w:w="80"/>
              <w:left w:type="dxa" w:w="100"/>
              <w:bottom w:type="dxa" w:w="80"/>
              <w:right w:type="dxa" w:w="100"/>
            </w:tcMar>
          </w:tcPr>
          <w:p>
            <w:r>
              <w:rPr>
                <w:b w:val="false"/>
                <w:bCs w:val="false"/>
              </w:rPr>
              <w:t xml:space="preserve">UC9</w:t>
            </w:r>
          </w:p>
        </w:tc>
      </w:tr>
      <w:tr>
        <w:tc>
          <w:tcPr>
            <w:tcW w:type="dxa" w:w="500"/>
            <w:shd w:fill="F8FAFC" w:val="clear"/>
            <w:tcMar>
              <w:top w:type="dxa" w:w="80"/>
              <w:left w:type="dxa" w:w="100"/>
              <w:bottom w:type="dxa" w:w="80"/>
              <w:right w:type="dxa" w:w="100"/>
            </w:tcMar>
          </w:tcPr>
          <w:p>
            <w:r>
              <w:rPr>
                <w:b w:val="false"/>
                <w:bCs w:val="false"/>
              </w:rPr>
              <w:t xml:space="preserve">10</w:t>
            </w:r>
          </w:p>
        </w:tc>
        <w:tc>
          <w:tcPr>
            <w:tcW w:type="dxa" w:w="3300"/>
            <w:shd w:fill="F8FAFC" w:val="clear"/>
            <w:tcMar>
              <w:top w:type="dxa" w:w="80"/>
              <w:left w:type="dxa" w:w="100"/>
              <w:bottom w:type="dxa" w:w="80"/>
              <w:right w:type="dxa" w:w="100"/>
            </w:tcMar>
          </w:tcPr>
          <w:p>
            <w:r>
              <w:rPr>
                <w:b w:val="false"/>
                <w:bCs w:val="false"/>
              </w:rPr>
              <w:t xml:space="preserve">Stock Transfer (bin-to-bin)</w:t>
            </w:r>
          </w:p>
        </w:tc>
        <w:tc>
          <w:tcPr>
            <w:tcW w:type="dxa" w:w="5600"/>
            <w:shd w:fill="F8FAFC" w:val="clear"/>
            <w:tcMar>
              <w:top w:type="dxa" w:w="80"/>
              <w:left w:type="dxa" w:w="100"/>
              <w:bottom w:type="dxa" w:w="80"/>
              <w:right w:type="dxa" w:w="100"/>
            </w:tcMar>
          </w:tcPr>
          <w:p>
            <w:r>
              <w:rPr>
                <w:b w:val="false"/>
                <w:bCs w:val="false"/>
              </w:rPr>
              <w:t xml:space="preserve">UC10</w:t>
            </w:r>
          </w:p>
        </w:tc>
      </w:tr>
      <w:tr>
        <w:tc>
          <w:tcPr>
            <w:tcW w:type="dxa" w:w="500"/>
            <w:tcMar>
              <w:top w:type="dxa" w:w="80"/>
              <w:left w:type="dxa" w:w="100"/>
              <w:bottom w:type="dxa" w:w="80"/>
              <w:right w:type="dxa" w:w="100"/>
            </w:tcMar>
          </w:tcPr>
          <w:p>
            <w:r>
              <w:rPr>
                <w:b w:val="false"/>
                <w:bCs w:val="false"/>
              </w:rPr>
              <w:t xml:space="preserve">11</w:t>
            </w:r>
          </w:p>
        </w:tc>
        <w:tc>
          <w:tcPr>
            <w:tcW w:type="dxa" w:w="3300"/>
            <w:tcMar>
              <w:top w:type="dxa" w:w="80"/>
              <w:left w:type="dxa" w:w="100"/>
              <w:bottom w:type="dxa" w:w="80"/>
              <w:right w:type="dxa" w:w="100"/>
            </w:tcMar>
          </w:tcPr>
          <w:p>
            <w:r>
              <w:rPr>
                <w:b w:val="false"/>
                <w:bCs w:val="false"/>
              </w:rPr>
              <w:t xml:space="preserve">Store Requisitions</w:t>
            </w:r>
          </w:p>
        </w:tc>
        <w:tc>
          <w:tcPr>
            <w:tcW w:type="dxa" w:w="5600"/>
            <w:tcMar>
              <w:top w:type="dxa" w:w="80"/>
              <w:left w:type="dxa" w:w="100"/>
              <w:bottom w:type="dxa" w:w="80"/>
              <w:right w:type="dxa" w:w="100"/>
            </w:tcMar>
          </w:tcPr>
          <w:p>
            <w:r>
              <w:rPr>
                <w:b w:val="false"/>
                <w:bCs w:val="false"/>
              </w:rPr>
              <w:t xml:space="preserve">UC11, UC12</w:t>
            </w:r>
          </w:p>
        </w:tc>
      </w:tr>
      <w:tr>
        <w:tc>
          <w:tcPr>
            <w:tcW w:type="dxa" w:w="500"/>
            <w:shd w:fill="F8FAFC" w:val="clear"/>
            <w:tcMar>
              <w:top w:type="dxa" w:w="80"/>
              <w:left w:type="dxa" w:w="100"/>
              <w:bottom w:type="dxa" w:w="80"/>
              <w:right w:type="dxa" w:w="100"/>
            </w:tcMar>
          </w:tcPr>
          <w:p>
            <w:r>
              <w:rPr>
                <w:b w:val="false"/>
                <w:bCs w:val="false"/>
              </w:rPr>
              <w:t xml:space="preserve">12</w:t>
            </w:r>
          </w:p>
        </w:tc>
        <w:tc>
          <w:tcPr>
            <w:tcW w:type="dxa" w:w="3300"/>
            <w:shd w:fill="F8FAFC" w:val="clear"/>
            <w:tcMar>
              <w:top w:type="dxa" w:w="80"/>
              <w:left w:type="dxa" w:w="100"/>
              <w:bottom w:type="dxa" w:w="80"/>
              <w:right w:type="dxa" w:w="100"/>
            </w:tcMar>
          </w:tcPr>
          <w:p>
            <w:r>
              <w:rPr>
                <w:b w:val="false"/>
                <w:bCs w:val="false"/>
              </w:rPr>
              <w:t xml:space="preserve">Issue Vouchers (SIV/ISIV)</w:t>
            </w:r>
          </w:p>
        </w:tc>
        <w:tc>
          <w:tcPr>
            <w:tcW w:type="dxa" w:w="5600"/>
            <w:shd w:fill="F8FAFC" w:val="clear"/>
            <w:tcMar>
              <w:top w:type="dxa" w:w="80"/>
              <w:left w:type="dxa" w:w="100"/>
              <w:bottom w:type="dxa" w:w="80"/>
              <w:right w:type="dxa" w:w="100"/>
            </w:tcMar>
          </w:tcPr>
          <w:p>
            <w:r>
              <w:rPr>
                <w:b w:val="false"/>
                <w:bCs w:val="false"/>
              </w:rPr>
              <w:t xml:space="preserve">UC13, UC14, UC15</w:t>
            </w:r>
          </w:p>
        </w:tc>
      </w:tr>
      <w:tr>
        <w:tc>
          <w:tcPr>
            <w:tcW w:type="dxa" w:w="500"/>
            <w:tcMar>
              <w:top w:type="dxa" w:w="80"/>
              <w:left w:type="dxa" w:w="100"/>
              <w:bottom w:type="dxa" w:w="80"/>
              <w:right w:type="dxa" w:w="100"/>
            </w:tcMar>
          </w:tcPr>
          <w:p>
            <w:r>
              <w:rPr>
                <w:b w:val="false"/>
                <w:bCs w:val="false"/>
              </w:rPr>
              <w:t xml:space="preserve">13</w:t>
            </w:r>
          </w:p>
        </w:tc>
        <w:tc>
          <w:tcPr>
            <w:tcW w:type="dxa" w:w="3300"/>
            <w:tcMar>
              <w:top w:type="dxa" w:w="80"/>
              <w:left w:type="dxa" w:w="100"/>
              <w:bottom w:type="dxa" w:w="80"/>
              <w:right w:type="dxa" w:w="100"/>
            </w:tcMar>
          </w:tcPr>
          <w:p>
            <w:r>
              <w:rPr>
                <w:b w:val="false"/>
                <w:bCs w:val="false"/>
              </w:rPr>
              <w:t xml:space="preserve">Fixed Assets</w:t>
            </w:r>
          </w:p>
        </w:tc>
        <w:tc>
          <w:tcPr>
            <w:tcW w:type="dxa" w:w="5600"/>
            <w:tcMar>
              <w:top w:type="dxa" w:w="80"/>
              <w:left w:type="dxa" w:w="100"/>
              <w:bottom w:type="dxa" w:w="80"/>
              <w:right w:type="dxa" w:w="100"/>
            </w:tcMar>
          </w:tcPr>
          <w:p>
            <w:r>
              <w:rPr>
                <w:b w:val="false"/>
                <w:bCs w:val="false"/>
              </w:rPr>
              <w:t xml:space="preserve">UC16</w:t>
            </w:r>
          </w:p>
        </w:tc>
      </w:tr>
      <w:tr>
        <w:tc>
          <w:tcPr>
            <w:tcW w:type="dxa" w:w="500"/>
            <w:shd w:fill="F8FAFC" w:val="clear"/>
            <w:tcMar>
              <w:top w:type="dxa" w:w="80"/>
              <w:left w:type="dxa" w:w="100"/>
              <w:bottom w:type="dxa" w:w="80"/>
              <w:right w:type="dxa" w:w="100"/>
            </w:tcMar>
          </w:tcPr>
          <w:p>
            <w:r>
              <w:rPr>
                <w:b w:val="false"/>
                <w:bCs w:val="false"/>
              </w:rPr>
              <w:t xml:space="preserve">14</w:t>
            </w:r>
          </w:p>
        </w:tc>
        <w:tc>
          <w:tcPr>
            <w:tcW w:type="dxa" w:w="3300"/>
            <w:shd w:fill="F8FAFC" w:val="clear"/>
            <w:tcMar>
              <w:top w:type="dxa" w:w="80"/>
              <w:left w:type="dxa" w:w="100"/>
              <w:bottom w:type="dxa" w:w="80"/>
              <w:right w:type="dxa" w:w="100"/>
            </w:tcMar>
          </w:tcPr>
          <w:p>
            <w:r>
              <w:rPr>
                <w:b w:val="false"/>
                <w:bCs w:val="false"/>
              </w:rPr>
              <w:t xml:space="preserve">Users</w:t>
            </w:r>
          </w:p>
        </w:tc>
        <w:tc>
          <w:tcPr>
            <w:tcW w:type="dxa" w:w="5600"/>
            <w:shd w:fill="F8FAFC" w:val="clear"/>
            <w:tcMar>
              <w:top w:type="dxa" w:w="80"/>
              <w:left w:type="dxa" w:w="100"/>
              <w:bottom w:type="dxa" w:w="80"/>
              <w:right w:type="dxa" w:w="100"/>
            </w:tcMar>
          </w:tcPr>
          <w:p>
            <w:r>
              <w:rPr>
                <w:b w:val="false"/>
                <w:bCs w:val="false"/>
              </w:rPr>
              <w:t xml:space="preserve">UC17</w:t>
            </w:r>
          </w:p>
        </w:tc>
      </w:tr>
      <w:tr>
        <w:tc>
          <w:tcPr>
            <w:tcW w:type="dxa" w:w="500"/>
            <w:tcMar>
              <w:top w:type="dxa" w:w="80"/>
              <w:left w:type="dxa" w:w="100"/>
              <w:bottom w:type="dxa" w:w="80"/>
              <w:right w:type="dxa" w:w="100"/>
            </w:tcMar>
          </w:tcPr>
          <w:p>
            <w:r>
              <w:rPr>
                <w:b w:val="false"/>
                <w:bCs w:val="false"/>
              </w:rPr>
              <w:t xml:space="preserve">15</w:t>
            </w:r>
          </w:p>
        </w:tc>
        <w:tc>
          <w:tcPr>
            <w:tcW w:type="dxa" w:w="3300"/>
            <w:tcMar>
              <w:top w:type="dxa" w:w="80"/>
              <w:left w:type="dxa" w:w="100"/>
              <w:bottom w:type="dxa" w:w="80"/>
              <w:right w:type="dxa" w:w="100"/>
            </w:tcMar>
          </w:tcPr>
          <w:p>
            <w:r>
              <w:rPr>
                <w:b w:val="false"/>
                <w:bCs w:val="false"/>
              </w:rPr>
              <w:t xml:space="preserve">Material Returns (SRN)</w:t>
            </w:r>
          </w:p>
        </w:tc>
        <w:tc>
          <w:tcPr>
            <w:tcW w:type="dxa" w:w="5600"/>
            <w:tcMar>
              <w:top w:type="dxa" w:w="80"/>
              <w:left w:type="dxa" w:w="100"/>
              <w:bottom w:type="dxa" w:w="80"/>
              <w:right w:type="dxa" w:w="100"/>
            </w:tcMar>
          </w:tcPr>
          <w:p>
            <w:r>
              <w:rPr>
                <w:b w:val="false"/>
                <w:bCs w:val="false"/>
              </w:rPr>
              <w:t xml:space="preserve">UC18, UC19, UC20</w:t>
            </w:r>
          </w:p>
        </w:tc>
      </w:tr>
      <w:tr>
        <w:tc>
          <w:tcPr>
            <w:tcW w:type="dxa" w:w="500"/>
            <w:shd w:fill="F8FAFC" w:val="clear"/>
            <w:tcMar>
              <w:top w:type="dxa" w:w="80"/>
              <w:left w:type="dxa" w:w="100"/>
              <w:bottom w:type="dxa" w:w="80"/>
              <w:right w:type="dxa" w:w="100"/>
            </w:tcMar>
          </w:tcPr>
          <w:p>
            <w:r>
              <w:rPr>
                <w:b w:val="false"/>
                <w:bCs w:val="false"/>
              </w:rPr>
              <w:t xml:space="preserve">16</w:t>
            </w:r>
          </w:p>
        </w:tc>
        <w:tc>
          <w:tcPr>
            <w:tcW w:type="dxa" w:w="3300"/>
            <w:shd w:fill="F8FAFC" w:val="clear"/>
            <w:tcMar>
              <w:top w:type="dxa" w:w="80"/>
              <w:left w:type="dxa" w:w="100"/>
              <w:bottom w:type="dxa" w:w="80"/>
              <w:right w:type="dxa" w:w="100"/>
            </w:tcMar>
          </w:tcPr>
          <w:p>
            <w:r>
              <w:rPr>
                <w:b w:val="false"/>
                <w:bCs w:val="false"/>
              </w:rPr>
              <w:t xml:space="preserve">Material Transfers (store-to-store)</w:t>
            </w:r>
          </w:p>
        </w:tc>
        <w:tc>
          <w:tcPr>
            <w:tcW w:type="dxa" w:w="5600"/>
            <w:shd w:fill="F8FAFC" w:val="clear"/>
            <w:tcMar>
              <w:top w:type="dxa" w:w="80"/>
              <w:left w:type="dxa" w:w="100"/>
              <w:bottom w:type="dxa" w:w="80"/>
              <w:right w:type="dxa" w:w="100"/>
            </w:tcMar>
          </w:tcPr>
          <w:p>
            <w:r>
              <w:rPr>
                <w:b w:val="false"/>
                <w:bCs w:val="false"/>
              </w:rPr>
              <w:t xml:space="preserve">UC21, UC22</w:t>
            </w:r>
          </w:p>
        </w:tc>
      </w:tr>
      <w:tr>
        <w:tc>
          <w:tcPr>
            <w:tcW w:type="dxa" w:w="500"/>
            <w:tcMar>
              <w:top w:type="dxa" w:w="80"/>
              <w:left w:type="dxa" w:w="100"/>
              <w:bottom w:type="dxa" w:w="80"/>
              <w:right w:type="dxa" w:w="100"/>
            </w:tcMar>
          </w:tcPr>
          <w:p>
            <w:r>
              <w:rPr>
                <w:b w:val="false"/>
                <w:bCs w:val="false"/>
              </w:rPr>
              <w:t xml:space="preserve">17</w:t>
            </w:r>
          </w:p>
        </w:tc>
        <w:tc>
          <w:tcPr>
            <w:tcW w:type="dxa" w:w="3300"/>
            <w:tcMar>
              <w:top w:type="dxa" w:w="80"/>
              <w:left w:type="dxa" w:w="100"/>
              <w:bottom w:type="dxa" w:w="80"/>
              <w:right w:type="dxa" w:w="100"/>
            </w:tcMar>
          </w:tcPr>
          <w:p>
            <w:r>
              <w:rPr>
                <w:b w:val="false"/>
                <w:bCs w:val="false"/>
              </w:rPr>
              <w:t xml:space="preserve">Disposal Management</w:t>
            </w:r>
          </w:p>
        </w:tc>
        <w:tc>
          <w:tcPr>
            <w:tcW w:type="dxa" w:w="5600"/>
            <w:tcMar>
              <w:top w:type="dxa" w:w="80"/>
              <w:left w:type="dxa" w:w="100"/>
              <w:bottom w:type="dxa" w:w="80"/>
              <w:right w:type="dxa" w:w="100"/>
            </w:tcMar>
          </w:tcPr>
          <w:p>
            <w:r>
              <w:rPr>
                <w:b w:val="false"/>
                <w:bCs w:val="false"/>
              </w:rPr>
              <w:t xml:space="preserve">UC23, UC24, UC25, UC26</w:t>
            </w:r>
          </w:p>
        </w:tc>
      </w:tr>
      <w:tr>
        <w:tc>
          <w:tcPr>
            <w:tcW w:type="dxa" w:w="500"/>
            <w:shd w:fill="F8FAFC" w:val="clear"/>
            <w:tcMar>
              <w:top w:type="dxa" w:w="80"/>
              <w:left w:type="dxa" w:w="100"/>
              <w:bottom w:type="dxa" w:w="80"/>
              <w:right w:type="dxa" w:w="100"/>
            </w:tcMar>
          </w:tcPr>
          <w:p>
            <w:r>
              <w:rPr>
                <w:b w:val="false"/>
                <w:bCs w:val="false"/>
              </w:rPr>
              <w:t xml:space="preserve">18</w:t>
            </w:r>
          </w:p>
        </w:tc>
        <w:tc>
          <w:tcPr>
            <w:tcW w:type="dxa" w:w="3300"/>
            <w:shd w:fill="F8FAFC" w:val="clear"/>
            <w:tcMar>
              <w:top w:type="dxa" w:w="80"/>
              <w:left w:type="dxa" w:w="100"/>
              <w:bottom w:type="dxa" w:w="80"/>
              <w:right w:type="dxa" w:w="100"/>
            </w:tcMar>
          </w:tcPr>
          <w:p>
            <w:r>
              <w:rPr>
                <w:b w:val="false"/>
                <w:bCs w:val="false"/>
              </w:rPr>
              <w:t xml:space="preserve">Reports</w:t>
            </w:r>
          </w:p>
        </w:tc>
        <w:tc>
          <w:tcPr>
            <w:tcW w:type="dxa" w:w="5600"/>
            <w:shd w:fill="F8FAFC" w:val="clear"/>
            <w:tcMar>
              <w:top w:type="dxa" w:w="80"/>
              <w:left w:type="dxa" w:w="100"/>
              <w:bottom w:type="dxa" w:w="80"/>
              <w:right w:type="dxa" w:w="100"/>
            </w:tcMar>
          </w:tcPr>
          <w:p>
            <w:r>
              <w:rPr>
                <w:b w:val="false"/>
                <w:bCs w:val="false"/>
              </w:rPr>
              <w:t xml:space="preserve">Added — SRS 3.1</w:t>
            </w:r>
          </w:p>
        </w:tc>
      </w:tr>
      <w:tr>
        <w:tc>
          <w:tcPr>
            <w:tcW w:type="dxa" w:w="500"/>
            <w:tcMar>
              <w:top w:type="dxa" w:w="80"/>
              <w:left w:type="dxa" w:w="100"/>
              <w:bottom w:type="dxa" w:w="80"/>
              <w:right w:type="dxa" w:w="100"/>
            </w:tcMar>
          </w:tcPr>
          <w:p>
            <w:r>
              <w:rPr>
                <w:b w:val="false"/>
                <w:bCs w:val="false"/>
              </w:rPr>
              <w:t xml:space="preserve">19</w:t>
            </w:r>
          </w:p>
        </w:tc>
        <w:tc>
          <w:tcPr>
            <w:tcW w:type="dxa" w:w="3300"/>
            <w:tcMar>
              <w:top w:type="dxa" w:w="80"/>
              <w:left w:type="dxa" w:w="100"/>
              <w:bottom w:type="dxa" w:w="80"/>
              <w:right w:type="dxa" w:w="100"/>
            </w:tcMar>
          </w:tcPr>
          <w:p>
            <w:r>
              <w:rPr>
                <w:b w:val="false"/>
                <w:bCs w:val="false"/>
              </w:rPr>
              <w:t xml:space="preserve">Audit Log</w:t>
            </w:r>
          </w:p>
        </w:tc>
        <w:tc>
          <w:tcPr>
            <w:tcW w:type="dxa" w:w="5600"/>
            <w:tcMar>
              <w:top w:type="dxa" w:w="80"/>
              <w:left w:type="dxa" w:w="100"/>
              <w:bottom w:type="dxa" w:w="80"/>
              <w:right w:type="dxa" w:w="100"/>
            </w:tcMar>
          </w:tcPr>
          <w:p>
            <w:r>
              <w:rPr>
                <w:b w:val="false"/>
                <w:bCs w:val="false"/>
              </w:rPr>
              <w:t xml:space="preserve">Added — SRS 3.1, 3.2</w:t>
            </w:r>
          </w:p>
        </w:tc>
      </w:tr>
    </w:tbl>
    <w:p>
      <w:pPr>
        <w:pStyle w:val="Heading1"/>
        <w:spacing w:after="160" w:before="360"/>
      </w:pPr>
      <w:r>
        <w:t xml:space="preserve">3. Actors and Role-Permission Matrix</w:t>
      </w:r>
    </w:p>
    <w:p>
      <w:pPr>
        <w:spacing w:after="160"/>
      </w:pPr>
      <w:r>
        <w:t xml:space="preserve">Roles below combine SRS section 3.4.1 (Actor Identification) and section 4.4.8 (Access Control), plus the Technical Evaluation Committee and Store Head roles named in the amended use case list. The frontend implements these as a single “role” string per user (see Section 6.2); the exact enum must be confirmed against the backend’s auth/user schema before go-live — see Section 9.</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6000"/>
      </w:tblGrid>
      <w:tr>
        <w:trPr>
          <w:tblHeader/>
        </w:trPr>
        <w:tc>
          <w:tcPr>
            <w:tcW w:type="dxa" w:w="3400"/>
            <w:shd w:fill="1D4ED8" w:val="clear"/>
            <w:tcMar>
              <w:top w:type="dxa" w:w="80"/>
              <w:left w:type="dxa" w:w="100"/>
              <w:bottom w:type="dxa" w:w="80"/>
              <w:right w:type="dxa" w:w="100"/>
            </w:tcMar>
          </w:tcPr>
          <w:p>
            <w:r>
              <w:rPr>
                <w:b/>
                <w:bCs/>
                <w:color w:val="FFFFFF"/>
              </w:rPr>
              <w:t xml:space="preserve">Role</w:t>
            </w:r>
          </w:p>
        </w:tc>
        <w:tc>
          <w:tcPr>
            <w:tcW w:type="dxa" w:w="6000"/>
            <w:shd w:fill="1D4ED8" w:val="clear"/>
            <w:tcMar>
              <w:top w:type="dxa" w:w="80"/>
              <w:left w:type="dxa" w:w="100"/>
              <w:bottom w:type="dxa" w:w="80"/>
              <w:right w:type="dxa" w:w="100"/>
            </w:tcMar>
          </w:tcPr>
          <w:p>
            <w:r>
              <w:rPr>
                <w:b/>
                <w:bCs/>
                <w:color w:val="FFFFFF"/>
              </w:rPr>
              <w:t xml:space="preserve">Primary Responsibility in the Frontend</w:t>
            </w:r>
          </w:p>
        </w:tc>
      </w:tr>
      <w:tr>
        <w:tc>
          <w:tcPr>
            <w:tcW w:type="dxa" w:w="3400"/>
            <w:tcMar>
              <w:top w:type="dxa" w:w="80"/>
              <w:left w:type="dxa" w:w="100"/>
              <w:bottom w:type="dxa" w:w="80"/>
              <w:right w:type="dxa" w:w="100"/>
            </w:tcMar>
          </w:tcPr>
          <w:p>
            <w:r>
              <w:rPr>
                <w:b w:val="false"/>
                <w:bCs w:val="false"/>
              </w:rPr>
              <w:t xml:space="preserve">Administrator</w:t>
            </w:r>
          </w:p>
        </w:tc>
        <w:tc>
          <w:tcPr>
            <w:tcW w:type="dxa" w:w="6000"/>
            <w:tcMar>
              <w:top w:type="dxa" w:w="80"/>
              <w:left w:type="dxa" w:w="100"/>
              <w:bottom w:type="dxa" w:w="80"/>
              <w:right w:type="dxa" w:w="100"/>
            </w:tcMar>
          </w:tcPr>
          <w:p>
            <w:r>
              <w:rPr>
                <w:b w:val="false"/>
                <w:bCs w:val="false"/>
              </w:rPr>
              <w:t xml:space="preserve">Full access, including User management</w:t>
            </w:r>
          </w:p>
        </w:tc>
      </w:tr>
      <w:tr>
        <w:tc>
          <w:tcPr>
            <w:tcW w:type="dxa" w:w="3400"/>
            <w:shd w:fill="F8FAFC" w:val="clear"/>
            <w:tcMar>
              <w:top w:type="dxa" w:w="80"/>
              <w:left w:type="dxa" w:w="100"/>
              <w:bottom w:type="dxa" w:w="80"/>
              <w:right w:type="dxa" w:w="100"/>
            </w:tcMar>
          </w:tcPr>
          <w:p>
            <w:r>
              <w:rPr>
                <w:b w:val="false"/>
                <w:bCs w:val="false"/>
              </w:rPr>
              <w:t xml:space="preserve">Property Administration Officer (PAO)</w:t>
            </w:r>
          </w:p>
        </w:tc>
        <w:tc>
          <w:tcPr>
            <w:tcW w:type="dxa" w:w="6000"/>
            <w:shd w:fill="F8FAFC" w:val="clear"/>
            <w:tcMar>
              <w:top w:type="dxa" w:w="80"/>
              <w:left w:type="dxa" w:w="100"/>
              <w:bottom w:type="dxa" w:w="80"/>
              <w:right w:type="dxa" w:w="100"/>
            </w:tcMar>
          </w:tcPr>
          <w:p>
            <w:r>
              <w:rPr>
                <w:b w:val="false"/>
                <w:bCs w:val="false"/>
              </w:rPr>
              <w:t xml:space="preserve">Approves requisitions and transfers; monitors all inventory activity and reports</w:t>
            </w:r>
          </w:p>
        </w:tc>
      </w:tr>
      <w:tr>
        <w:tc>
          <w:tcPr>
            <w:tcW w:type="dxa" w:w="3400"/>
            <w:tcMar>
              <w:top w:type="dxa" w:w="80"/>
              <w:left w:type="dxa" w:w="100"/>
              <w:bottom w:type="dxa" w:w="80"/>
              <w:right w:type="dxa" w:w="100"/>
            </w:tcMar>
          </w:tcPr>
          <w:p>
            <w:r>
              <w:rPr>
                <w:b w:val="false"/>
                <w:bCs w:val="false"/>
              </w:rPr>
              <w:t xml:space="preserve">Store Head</w:t>
            </w:r>
          </w:p>
        </w:tc>
        <w:tc>
          <w:tcPr>
            <w:tcW w:type="dxa" w:w="6000"/>
            <w:tcMar>
              <w:top w:type="dxa" w:w="80"/>
              <w:left w:type="dxa" w:w="100"/>
              <w:bottom w:type="dxa" w:w="80"/>
              <w:right w:type="dxa" w:w="100"/>
            </w:tcMar>
          </w:tcPr>
          <w:p>
            <w:r>
              <w:rPr>
                <w:b w:val="false"/>
                <w:bCs w:val="false"/>
              </w:rPr>
              <w:t xml:space="preserve">Oversees a specific store; notifies TEC on receipt; oversees GRN completion</w:t>
            </w:r>
          </w:p>
        </w:tc>
      </w:tr>
      <w:tr>
        <w:tc>
          <w:tcPr>
            <w:tcW w:type="dxa" w:w="3400"/>
            <w:shd w:fill="F8FAFC" w:val="clear"/>
            <w:tcMar>
              <w:top w:type="dxa" w:w="80"/>
              <w:left w:type="dxa" w:w="100"/>
              <w:bottom w:type="dxa" w:w="80"/>
              <w:right w:type="dxa" w:w="100"/>
            </w:tcMar>
          </w:tcPr>
          <w:p>
            <w:r>
              <w:rPr>
                <w:b w:val="false"/>
                <w:bCs w:val="false"/>
              </w:rPr>
              <w:t xml:space="preserve">Storekeeper</w:t>
            </w:r>
          </w:p>
        </w:tc>
        <w:tc>
          <w:tcPr>
            <w:tcW w:type="dxa" w:w="6000"/>
            <w:shd w:fill="F8FAFC" w:val="clear"/>
            <w:tcMar>
              <w:top w:type="dxa" w:w="80"/>
              <w:left w:type="dxa" w:w="100"/>
              <w:bottom w:type="dxa" w:w="80"/>
              <w:right w:type="dxa" w:w="100"/>
            </w:tcMar>
          </w:tcPr>
          <w:p>
            <w:r>
              <w:rPr>
                <w:b w:val="false"/>
                <w:bCs w:val="false"/>
              </w:rPr>
              <w:t xml:space="preserve">Records goods receipt, issues stock, maintains bin/stock cards, dispatches materials</w:t>
            </w:r>
          </w:p>
        </w:tc>
      </w:tr>
      <w:tr>
        <w:tc>
          <w:tcPr>
            <w:tcW w:type="dxa" w:w="3400"/>
            <w:tcMar>
              <w:top w:type="dxa" w:w="80"/>
              <w:left w:type="dxa" w:w="100"/>
              <w:bottom w:type="dxa" w:w="80"/>
              <w:right w:type="dxa" w:w="100"/>
            </w:tcMar>
          </w:tcPr>
          <w:p>
            <w:r>
              <w:rPr>
                <w:b w:val="false"/>
                <w:bCs w:val="false"/>
              </w:rPr>
              <w:t xml:space="preserve">Stock Clerk</w:t>
            </w:r>
          </w:p>
        </w:tc>
        <w:tc>
          <w:tcPr>
            <w:tcW w:type="dxa" w:w="6000"/>
            <w:tcMar>
              <w:top w:type="dxa" w:w="80"/>
              <w:left w:type="dxa" w:w="100"/>
              <w:bottom w:type="dxa" w:w="80"/>
              <w:right w:type="dxa" w:w="100"/>
            </w:tcMar>
          </w:tcPr>
          <w:p>
            <w:r>
              <w:rPr>
                <w:b w:val="false"/>
                <w:bCs w:val="false"/>
              </w:rPr>
              <w:t xml:space="preserve">Maintains stock records, posts transactions, prepares reports</w:t>
            </w:r>
          </w:p>
        </w:tc>
      </w:tr>
      <w:tr>
        <w:tc>
          <w:tcPr>
            <w:tcW w:type="dxa" w:w="3400"/>
            <w:shd w:fill="F8FAFC" w:val="clear"/>
            <w:tcMar>
              <w:top w:type="dxa" w:w="80"/>
              <w:left w:type="dxa" w:w="100"/>
              <w:bottom w:type="dxa" w:w="80"/>
              <w:right w:type="dxa" w:w="100"/>
            </w:tcMar>
          </w:tcPr>
          <w:p>
            <w:r>
              <w:rPr>
                <w:b w:val="false"/>
                <w:bCs w:val="false"/>
              </w:rPr>
              <w:t xml:space="preserve">Technical Evaluation Committee (TEC)</w:t>
            </w:r>
          </w:p>
        </w:tc>
        <w:tc>
          <w:tcPr>
            <w:tcW w:type="dxa" w:w="6000"/>
            <w:shd w:fill="F8FAFC" w:val="clear"/>
            <w:tcMar>
              <w:top w:type="dxa" w:w="80"/>
              <w:left w:type="dxa" w:w="100"/>
              <w:bottom w:type="dxa" w:w="80"/>
              <w:right w:type="dxa" w:w="100"/>
            </w:tcMar>
          </w:tcPr>
          <w:p>
            <w:r>
              <w:rPr>
                <w:b w:val="false"/>
                <w:bCs w:val="false"/>
              </w:rPr>
              <w:t xml:space="preserve">Evaluates received materials and returns; approves/rejects</w:t>
            </w:r>
          </w:p>
        </w:tc>
      </w:tr>
      <w:tr>
        <w:tc>
          <w:tcPr>
            <w:tcW w:type="dxa" w:w="3400"/>
            <w:tcMar>
              <w:top w:type="dxa" w:w="80"/>
              <w:left w:type="dxa" w:w="100"/>
              <w:bottom w:type="dxa" w:w="80"/>
              <w:right w:type="dxa" w:w="100"/>
            </w:tcMar>
          </w:tcPr>
          <w:p>
            <w:r>
              <w:rPr>
                <w:b w:val="false"/>
                <w:bCs w:val="false"/>
              </w:rPr>
              <w:t xml:space="preserve">Department Head</w:t>
            </w:r>
          </w:p>
        </w:tc>
        <w:tc>
          <w:tcPr>
            <w:tcW w:type="dxa" w:w="6000"/>
            <w:tcMar>
              <w:top w:type="dxa" w:w="80"/>
              <w:left w:type="dxa" w:w="100"/>
              <w:bottom w:type="dxa" w:w="80"/>
              <w:right w:type="dxa" w:w="100"/>
            </w:tcMar>
          </w:tcPr>
          <w:p>
            <w:r>
              <w:rPr>
                <w:b w:val="false"/>
                <w:bCs w:val="false"/>
              </w:rPr>
              <w:t xml:space="preserve">Raises store requisitions and material return requests for their department</w:t>
            </w:r>
          </w:p>
        </w:tc>
      </w:tr>
      <w:tr>
        <w:tc>
          <w:tcPr>
            <w:tcW w:type="dxa" w:w="3400"/>
            <w:shd w:fill="F8FAFC" w:val="clear"/>
            <w:tcMar>
              <w:top w:type="dxa" w:w="80"/>
              <w:left w:type="dxa" w:w="100"/>
              <w:bottom w:type="dxa" w:w="80"/>
              <w:right w:type="dxa" w:w="100"/>
            </w:tcMar>
          </w:tcPr>
          <w:p>
            <w:r>
              <w:rPr>
                <w:b w:val="false"/>
                <w:bCs w:val="false"/>
              </w:rPr>
              <w:t xml:space="preserve">Accountant</w:t>
            </w:r>
          </w:p>
        </w:tc>
        <w:tc>
          <w:tcPr>
            <w:tcW w:type="dxa" w:w="6000"/>
            <w:shd w:fill="F8FAFC" w:val="clear"/>
            <w:tcMar>
              <w:top w:type="dxa" w:w="80"/>
              <w:left w:type="dxa" w:w="100"/>
              <w:bottom w:type="dxa" w:w="80"/>
              <w:right w:type="dxa" w:w="100"/>
            </w:tcMar>
          </w:tcPr>
          <w:p>
            <w:r>
              <w:rPr>
                <w:b w:val="false"/>
                <w:bCs w:val="false"/>
              </w:rPr>
              <w:t xml:space="preserve">Views inventory valuation and financial reports</w:t>
            </w:r>
          </w:p>
        </w:tc>
      </w:tr>
      <w:tr>
        <w:tc>
          <w:tcPr>
            <w:tcW w:type="dxa" w:w="3400"/>
            <w:tcMar>
              <w:top w:type="dxa" w:w="80"/>
              <w:left w:type="dxa" w:w="100"/>
              <w:bottom w:type="dxa" w:w="80"/>
              <w:right w:type="dxa" w:w="100"/>
            </w:tcMar>
          </w:tcPr>
          <w:p>
            <w:r>
              <w:rPr>
                <w:b w:val="false"/>
                <w:bCs w:val="false"/>
              </w:rPr>
              <w:t xml:space="preserve">Security Officer</w:t>
            </w:r>
          </w:p>
        </w:tc>
        <w:tc>
          <w:tcPr>
            <w:tcW w:type="dxa" w:w="6000"/>
            <w:tcMar>
              <w:top w:type="dxa" w:w="80"/>
              <w:left w:type="dxa" w:w="100"/>
              <w:bottom w:type="dxa" w:w="80"/>
              <w:right w:type="dxa" w:w="100"/>
            </w:tcMar>
          </w:tcPr>
          <w:p>
            <w:r>
              <w:rPr>
                <w:b w:val="false"/>
                <w:bCs w:val="false"/>
              </w:rPr>
              <w:t xml:space="preserve">Verifies gate passes for materials leaving the premises (reporting/reference use only in v1)</w:t>
            </w:r>
          </w:p>
        </w:tc>
      </w:tr>
    </w:tbl>
    <w:p>
      <w:pPr>
        <w:spacing w:after="160"/>
      </w:pPr>
      <w:r>
        <w:rPr>
          <w:i/>
          <w:iCs/>
          <w:color w:val="64748B"/>
        </w:rPr>
        <w:t xml:space="preserve">Implementation note: v1 ships with every authenticated role able to reach every route (see README “Known gaps”). Per-route role restriction is scaffolded via `hasRole()` in `AuthContext` and should be wired up once the backend confirms the final role enum and which actions each role may perform.</w:t>
      </w:r>
    </w:p>
    <w:p>
      <w:pPr>
        <w:pStyle w:val="Heading1"/>
        <w:spacing w:after="160" w:before="360"/>
      </w:pPr>
      <w:r>
        <w:t xml:space="preserve">4. Technology Stack and Architecture</w:t>
      </w:r>
    </w:p>
    <w:p>
      <w:pPr>
        <w:pStyle w:val="Heading2"/>
        <w:spacing w:after="120" w:before="280"/>
      </w:pPr>
      <w:r>
        <w:t xml:space="preserve">4.1 Stack</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5000"/>
      </w:tblGrid>
      <w:tr>
        <w:trPr>
          <w:tblHeader/>
        </w:trPr>
        <w:tc>
          <w:tcPr>
            <w:tcW w:type="dxa" w:w="1800"/>
            <w:shd w:fill="1D4ED8" w:val="clear"/>
            <w:tcMar>
              <w:top w:type="dxa" w:w="80"/>
              <w:left w:type="dxa" w:w="100"/>
              <w:bottom w:type="dxa" w:w="80"/>
              <w:right w:type="dxa" w:w="100"/>
            </w:tcMar>
          </w:tcPr>
          <w:p>
            <w:r>
              <w:rPr>
                <w:b/>
                <w:bCs/>
                <w:color w:val="FFFFFF"/>
              </w:rPr>
              <w:t xml:space="preserve">Layer</w:t>
            </w:r>
          </w:p>
        </w:tc>
        <w:tc>
          <w:tcPr>
            <w:tcW w:type="dxa" w:w="2600"/>
            <w:shd w:fill="1D4ED8" w:val="clear"/>
            <w:tcMar>
              <w:top w:type="dxa" w:w="80"/>
              <w:left w:type="dxa" w:w="100"/>
              <w:bottom w:type="dxa" w:w="80"/>
              <w:right w:type="dxa" w:w="100"/>
            </w:tcMar>
          </w:tcPr>
          <w:p>
            <w:r>
              <w:rPr>
                <w:b/>
                <w:bCs/>
                <w:color w:val="FFFFFF"/>
              </w:rPr>
              <w:t xml:space="preserve">Choice</w:t>
            </w:r>
          </w:p>
        </w:tc>
        <w:tc>
          <w:tcPr>
            <w:tcW w:type="dxa" w:w="5000"/>
            <w:shd w:fill="1D4ED8" w:val="clear"/>
            <w:tcMar>
              <w:top w:type="dxa" w:w="80"/>
              <w:left w:type="dxa" w:w="100"/>
              <w:bottom w:type="dxa" w:w="80"/>
              <w:right w:type="dxa" w:w="100"/>
            </w:tcMar>
          </w:tcPr>
          <w:p>
            <w:r>
              <w:rPr>
                <w:b/>
                <w:bCs/>
                <w:color w:val="FFFFFF"/>
              </w:rPr>
              <w:t xml:space="preserve">Rationale</w:t>
            </w:r>
          </w:p>
        </w:tc>
      </w:tr>
      <w:tr>
        <w:tc>
          <w:tcPr>
            <w:tcW w:type="dxa" w:w="1800"/>
            <w:tcMar>
              <w:top w:type="dxa" w:w="80"/>
              <w:left w:type="dxa" w:w="100"/>
              <w:bottom w:type="dxa" w:w="80"/>
              <w:right w:type="dxa" w:w="100"/>
            </w:tcMar>
          </w:tcPr>
          <w:p>
            <w:r>
              <w:rPr>
                <w:b w:val="false"/>
                <w:bCs w:val="false"/>
              </w:rPr>
              <w:t xml:space="preserve">Build tool</w:t>
            </w:r>
          </w:p>
        </w:tc>
        <w:tc>
          <w:tcPr>
            <w:tcW w:type="dxa" w:w="2600"/>
            <w:tcMar>
              <w:top w:type="dxa" w:w="80"/>
              <w:left w:type="dxa" w:w="100"/>
              <w:bottom w:type="dxa" w:w="80"/>
              <w:right w:type="dxa" w:w="100"/>
            </w:tcMar>
          </w:tcPr>
          <w:p>
            <w:r>
              <w:rPr>
                <w:b w:val="false"/>
                <w:bCs w:val="false"/>
              </w:rPr>
              <w:t xml:space="preserve">Vite 5</w:t>
            </w:r>
          </w:p>
        </w:tc>
        <w:tc>
          <w:tcPr>
            <w:tcW w:type="dxa" w:w="5000"/>
            <w:tcMar>
              <w:top w:type="dxa" w:w="80"/>
              <w:left w:type="dxa" w:w="100"/>
              <w:bottom w:type="dxa" w:w="80"/>
              <w:right w:type="dxa" w:w="100"/>
            </w:tcMar>
          </w:tcPr>
          <w:p>
            <w:r>
              <w:rPr>
                <w:b w:val="false"/>
                <w:bCs w:val="false"/>
              </w:rPr>
              <w:t xml:space="preserve">Fast dev server and HMR; minimal config; matches SRS 1.5.1 technical feasibility.</w:t>
            </w:r>
          </w:p>
        </w:tc>
      </w:tr>
      <w:tr>
        <w:tc>
          <w:tcPr>
            <w:tcW w:type="dxa" w:w="1800"/>
            <w:shd w:fill="F8FAFC" w:val="clear"/>
            <w:tcMar>
              <w:top w:type="dxa" w:w="80"/>
              <w:left w:type="dxa" w:w="100"/>
              <w:bottom w:type="dxa" w:w="80"/>
              <w:right w:type="dxa" w:w="100"/>
            </w:tcMar>
          </w:tcPr>
          <w:p>
            <w:r>
              <w:rPr>
                <w:b w:val="false"/>
                <w:bCs w:val="false"/>
              </w:rPr>
              <w:t xml:space="preserve">UI library</w:t>
            </w:r>
          </w:p>
        </w:tc>
        <w:tc>
          <w:tcPr>
            <w:tcW w:type="dxa" w:w="2600"/>
            <w:shd w:fill="F8FAFC" w:val="clear"/>
            <w:tcMar>
              <w:top w:type="dxa" w:w="80"/>
              <w:left w:type="dxa" w:w="100"/>
              <w:bottom w:type="dxa" w:w="80"/>
              <w:right w:type="dxa" w:w="100"/>
            </w:tcMar>
          </w:tcPr>
          <w:p>
            <w:r>
              <w:rPr>
                <w:b w:val="false"/>
                <w:bCs w:val="false"/>
              </w:rPr>
              <w:t xml:space="preserve">React 18</w:t>
            </w:r>
          </w:p>
        </w:tc>
        <w:tc>
          <w:tcPr>
            <w:tcW w:type="dxa" w:w="5000"/>
            <w:shd w:fill="F8FAFC" w:val="clear"/>
            <w:tcMar>
              <w:top w:type="dxa" w:w="80"/>
              <w:left w:type="dxa" w:w="100"/>
              <w:bottom w:type="dxa" w:w="80"/>
              <w:right w:type="dxa" w:w="100"/>
            </w:tcMar>
          </w:tcPr>
          <w:p>
            <w:r>
              <w:rPr>
                <w:b w:val="false"/>
                <w:bCs w:val="false"/>
              </w:rPr>
              <w:t xml:space="preserve">Matches SRS 1.5.1 and abstract — team already targets React.js.</w:t>
            </w:r>
          </w:p>
        </w:tc>
      </w:tr>
      <w:tr>
        <w:tc>
          <w:tcPr>
            <w:tcW w:type="dxa" w:w="1800"/>
            <w:tcMar>
              <w:top w:type="dxa" w:w="80"/>
              <w:left w:type="dxa" w:w="100"/>
              <w:bottom w:type="dxa" w:w="80"/>
              <w:right w:type="dxa" w:w="100"/>
            </w:tcMar>
          </w:tcPr>
          <w:p>
            <w:r>
              <w:rPr>
                <w:b w:val="false"/>
                <w:bCs w:val="false"/>
              </w:rPr>
              <w:t xml:space="preserve">Routing</w:t>
            </w:r>
          </w:p>
        </w:tc>
        <w:tc>
          <w:tcPr>
            <w:tcW w:type="dxa" w:w="2600"/>
            <w:tcMar>
              <w:top w:type="dxa" w:w="80"/>
              <w:left w:type="dxa" w:w="100"/>
              <w:bottom w:type="dxa" w:w="80"/>
              <w:right w:type="dxa" w:w="100"/>
            </w:tcMar>
          </w:tcPr>
          <w:p>
            <w:r>
              <w:rPr>
                <w:b w:val="false"/>
                <w:bCs w:val="false"/>
              </w:rPr>
              <w:t xml:space="preserve">React Router 6</w:t>
            </w:r>
          </w:p>
        </w:tc>
        <w:tc>
          <w:tcPr>
            <w:tcW w:type="dxa" w:w="5000"/>
            <w:tcMar>
              <w:top w:type="dxa" w:w="80"/>
              <w:left w:type="dxa" w:w="100"/>
              <w:bottom w:type="dxa" w:w="80"/>
              <w:right w:type="dxa" w:w="100"/>
            </w:tcMar>
          </w:tcPr>
          <w:p>
            <w:r>
              <w:rPr>
                <w:b w:val="false"/>
                <w:bCs w:val="false"/>
              </w:rPr>
              <w:t xml:space="preserve">Standard SPA routing with nested/protected routes.</w:t>
            </w:r>
          </w:p>
        </w:tc>
      </w:tr>
      <w:tr>
        <w:tc>
          <w:tcPr>
            <w:tcW w:type="dxa" w:w="1800"/>
            <w:shd w:fill="F8FAFC" w:val="clear"/>
            <w:tcMar>
              <w:top w:type="dxa" w:w="80"/>
              <w:left w:type="dxa" w:w="100"/>
              <w:bottom w:type="dxa" w:w="80"/>
              <w:right w:type="dxa" w:w="100"/>
            </w:tcMar>
          </w:tcPr>
          <w:p>
            <w:r>
              <w:rPr>
                <w:b w:val="false"/>
                <w:bCs w:val="false"/>
              </w:rPr>
              <w:t xml:space="preserve">Styling</w:t>
            </w:r>
          </w:p>
        </w:tc>
        <w:tc>
          <w:tcPr>
            <w:tcW w:type="dxa" w:w="2600"/>
            <w:shd w:fill="F8FAFC" w:val="clear"/>
            <w:tcMar>
              <w:top w:type="dxa" w:w="80"/>
              <w:left w:type="dxa" w:w="100"/>
              <w:bottom w:type="dxa" w:w="80"/>
              <w:right w:type="dxa" w:w="100"/>
            </w:tcMar>
          </w:tcPr>
          <w:p>
            <w:r>
              <w:rPr>
                <w:b w:val="false"/>
                <w:bCs w:val="false"/>
              </w:rPr>
              <w:t xml:space="preserve">Tailwind CSS 3</w:t>
            </w:r>
          </w:p>
        </w:tc>
        <w:tc>
          <w:tcPr>
            <w:tcW w:type="dxa" w:w="5000"/>
            <w:shd w:fill="F8FAFC" w:val="clear"/>
            <w:tcMar>
              <w:top w:type="dxa" w:w="80"/>
              <w:left w:type="dxa" w:w="100"/>
              <w:bottom w:type="dxa" w:w="80"/>
              <w:right w:type="dxa" w:w="100"/>
            </w:tcMar>
          </w:tcPr>
          <w:p>
            <w:r>
              <w:rPr>
                <w:b w:val="false"/>
                <w:bCs w:val="false"/>
              </w:rPr>
              <w:t xml:space="preserve">Utility-first; fast to build a consistent, responsive design system without a component library dependency.</w:t>
            </w:r>
          </w:p>
        </w:tc>
      </w:tr>
      <w:tr>
        <w:tc>
          <w:tcPr>
            <w:tcW w:type="dxa" w:w="1800"/>
            <w:tcMar>
              <w:top w:type="dxa" w:w="80"/>
              <w:left w:type="dxa" w:w="100"/>
              <w:bottom w:type="dxa" w:w="80"/>
              <w:right w:type="dxa" w:w="100"/>
            </w:tcMar>
          </w:tcPr>
          <w:p>
            <w:r>
              <w:rPr>
                <w:b w:val="false"/>
                <w:bCs w:val="false"/>
              </w:rPr>
              <w:t xml:space="preserve">Icons</w:t>
            </w:r>
          </w:p>
        </w:tc>
        <w:tc>
          <w:tcPr>
            <w:tcW w:type="dxa" w:w="2600"/>
            <w:tcMar>
              <w:top w:type="dxa" w:w="80"/>
              <w:left w:type="dxa" w:w="100"/>
              <w:bottom w:type="dxa" w:w="80"/>
              <w:right w:type="dxa" w:w="100"/>
            </w:tcMar>
          </w:tcPr>
          <w:p>
            <w:r>
              <w:rPr>
                <w:b w:val="false"/>
                <w:bCs w:val="false"/>
              </w:rPr>
              <w:t xml:space="preserve">lucide-react</w:t>
            </w:r>
          </w:p>
        </w:tc>
        <w:tc>
          <w:tcPr>
            <w:tcW w:type="dxa" w:w="5000"/>
            <w:tcMar>
              <w:top w:type="dxa" w:w="80"/>
              <w:left w:type="dxa" w:w="100"/>
              <w:bottom w:type="dxa" w:w="80"/>
              <w:right w:type="dxa" w:w="100"/>
            </w:tcMar>
          </w:tcPr>
          <w:p>
            <w:r>
              <w:rPr>
                <w:b w:val="false"/>
                <w:bCs w:val="false"/>
              </w:rPr>
              <w:t xml:space="preserve">Lightweight, tree-shakeable icon set.</w:t>
            </w:r>
          </w:p>
        </w:tc>
      </w:tr>
      <w:tr>
        <w:tc>
          <w:tcPr>
            <w:tcW w:type="dxa" w:w="1800"/>
            <w:shd w:fill="F8FAFC" w:val="clear"/>
            <w:tcMar>
              <w:top w:type="dxa" w:w="80"/>
              <w:left w:type="dxa" w:w="100"/>
              <w:bottom w:type="dxa" w:w="80"/>
              <w:right w:type="dxa" w:w="100"/>
            </w:tcMar>
          </w:tcPr>
          <w:p>
            <w:r>
              <w:rPr>
                <w:b w:val="false"/>
                <w:bCs w:val="false"/>
              </w:rPr>
              <w:t xml:space="preserve">State management</w:t>
            </w:r>
          </w:p>
        </w:tc>
        <w:tc>
          <w:tcPr>
            <w:tcW w:type="dxa" w:w="2600"/>
            <w:shd w:fill="F8FAFC" w:val="clear"/>
            <w:tcMar>
              <w:top w:type="dxa" w:w="80"/>
              <w:left w:type="dxa" w:w="100"/>
              <w:bottom w:type="dxa" w:w="80"/>
              <w:right w:type="dxa" w:w="100"/>
            </w:tcMar>
          </w:tcPr>
          <w:p>
            <w:r>
              <w:rPr>
                <w:b w:val="false"/>
                <w:bCs w:val="false"/>
              </w:rPr>
              <w:t xml:space="preserve">React Context + component state</w:t>
            </w:r>
          </w:p>
        </w:tc>
        <w:tc>
          <w:tcPr>
            <w:tcW w:type="dxa" w:w="5000"/>
            <w:shd w:fill="F8FAFC" w:val="clear"/>
            <w:tcMar>
              <w:top w:type="dxa" w:w="80"/>
              <w:left w:type="dxa" w:w="100"/>
              <w:bottom w:type="dxa" w:w="80"/>
              <w:right w:type="dxa" w:w="100"/>
            </w:tcMar>
          </w:tcPr>
          <w:p>
            <w:r>
              <w:rPr>
                <w:b w:val="false"/>
                <w:bCs w:val="false"/>
              </w:rPr>
              <w:t xml:space="preserve">App is CRUD-heavy, not state-heavy; Context (Auth, Toast) is sufficient — avoids the complexity of Redux/Zustand for this scope.</w:t>
            </w:r>
          </w:p>
        </w:tc>
      </w:tr>
      <w:tr>
        <w:tc>
          <w:tcPr>
            <w:tcW w:type="dxa" w:w="1800"/>
            <w:tcMar>
              <w:top w:type="dxa" w:w="80"/>
              <w:left w:type="dxa" w:w="100"/>
              <w:bottom w:type="dxa" w:w="80"/>
              <w:right w:type="dxa" w:w="100"/>
            </w:tcMar>
          </w:tcPr>
          <w:p>
            <w:r>
              <w:rPr>
                <w:b w:val="false"/>
                <w:bCs w:val="false"/>
              </w:rPr>
              <w:t xml:space="preserve">Data access (current)</w:t>
            </w:r>
          </w:p>
        </w:tc>
        <w:tc>
          <w:tcPr>
            <w:tcW w:type="dxa" w:w="2600"/>
            <w:tcMar>
              <w:top w:type="dxa" w:w="80"/>
              <w:left w:type="dxa" w:w="100"/>
              <w:bottom w:type="dxa" w:w="80"/>
              <w:right w:type="dxa" w:w="100"/>
            </w:tcMar>
          </w:tcPr>
          <w:p>
            <w:r>
              <w:rPr>
                <w:b w:val="false"/>
                <w:bCs w:val="false"/>
              </w:rPr>
              <w:t xml:space="preserve">localStorage-backed mock service layer</w:t>
            </w:r>
          </w:p>
        </w:tc>
        <w:tc>
          <w:tcPr>
            <w:tcW w:type="dxa" w:w="5000"/>
            <w:tcMar>
              <w:top w:type="dxa" w:w="80"/>
              <w:left w:type="dxa" w:w="100"/>
              <w:bottom w:type="dxa" w:w="80"/>
              <w:right w:type="dxa" w:w="100"/>
            </w:tcMar>
          </w:tcPr>
          <w:p>
            <w:r>
              <w:rPr>
                <w:b w:val="false"/>
                <w:bCs w:val="false"/>
              </w:rPr>
              <w:t xml:space="preserve">Lets the frontend be built, demoed, and evaluated before the backend API exists.</w:t>
            </w:r>
          </w:p>
        </w:tc>
      </w:tr>
      <w:tr>
        <w:tc>
          <w:tcPr>
            <w:tcW w:type="dxa" w:w="1800"/>
            <w:shd w:fill="F8FAFC" w:val="clear"/>
            <w:tcMar>
              <w:top w:type="dxa" w:w="80"/>
              <w:left w:type="dxa" w:w="100"/>
              <w:bottom w:type="dxa" w:w="80"/>
              <w:right w:type="dxa" w:w="100"/>
            </w:tcMar>
          </w:tcPr>
          <w:p>
            <w:r>
              <w:rPr>
                <w:b w:val="false"/>
                <w:bCs w:val="false"/>
              </w:rPr>
              <w:t xml:space="preserve">Data access (future)</w:t>
            </w:r>
          </w:p>
        </w:tc>
        <w:tc>
          <w:tcPr>
            <w:tcW w:type="dxa" w:w="2600"/>
            <w:shd w:fill="F8FAFC" w:val="clear"/>
            <w:tcMar>
              <w:top w:type="dxa" w:w="80"/>
              <w:left w:type="dxa" w:w="100"/>
              <w:bottom w:type="dxa" w:w="80"/>
              <w:right w:type="dxa" w:w="100"/>
            </w:tcMar>
          </w:tcPr>
          <w:p>
            <w:r>
              <w:rPr>
                <w:b w:val="false"/>
                <w:bCs w:val="false"/>
              </w:rPr>
              <w:t xml:space="preserve">fetch-based REST client (`apiClient.js`)</w:t>
            </w:r>
          </w:p>
        </w:tc>
        <w:tc>
          <w:tcPr>
            <w:tcW w:type="dxa" w:w="5000"/>
            <w:shd w:fill="F8FAFC" w:val="clear"/>
            <w:tcMar>
              <w:top w:type="dxa" w:w="80"/>
              <w:left w:type="dxa" w:w="100"/>
              <w:bottom w:type="dxa" w:w="80"/>
              <w:right w:type="dxa" w:w="100"/>
            </w:tcMar>
          </w:tcPr>
          <w:p>
            <w:r>
              <w:rPr>
                <w:b w:val="false"/>
                <w:bCs w:val="false"/>
              </w:rPr>
              <w:t xml:space="preserve">Drop-in replacement for the mock layer; see Section 7.</w:t>
            </w:r>
          </w:p>
        </w:tc>
      </w:tr>
    </w:tbl>
    <w:p>
      <w:pPr>
        <w:pStyle w:val="Heading2"/>
        <w:spacing w:after="120" w:before="280"/>
      </w:pPr>
      <w:r>
        <w:t xml:space="preserve">4.2 Three-Tier Alignment</w:t>
      </w:r>
    </w:p>
    <w:p>
      <w:pPr>
        <w:spacing w:after="160"/>
      </w:pPr>
      <w:r>
        <w:t xml:space="preserve">This matches SRS 4.4 (three-tier architecture): the frontend is the Presentation Layer only. It never talks to PostgreSQL directly; it always goes through the service layer, which currently mocks and will later call the Express Application Layer over REST/JSON.</w:t>
      </w:r>
    </w:p>
    <w:p>
      <w:pPr>
        <w:pStyle w:val="Heading2"/>
        <w:spacing w:after="120" w:before="280"/>
      </w:pPr>
      <w:r>
        <w:t xml:space="preserve">4.3 High-Level Component Architecture</w:t>
      </w:r>
    </w:p>
    <w:p>
      <w:pPr>
        <w:spacing w:after="160"/>
      </w:pPr>
      <w:r>
        <w:t xml:space="preserve">The diagram below (described in text, since this is a Word document) shows the layering:</w:t>
      </w:r>
    </w:p>
    <w:p>
      <w:pPr>
        <w:pStyle w:val="ListParagraph"/>
        <w:numPr>
          <w:ilvl w:val="0"/>
          <w:numId w:val="1"/>
        </w:numPr>
        <w:spacing w:after="80"/>
      </w:pPr>
      <w:r>
        <w:t xml:space="preserve">Pages (src/pages/**) — one per module/screen, own their local UI state and orchestrate service calls.</w:t>
      </w:r>
    </w:p>
    <w:p>
      <w:pPr>
        <w:pStyle w:val="ListParagraph"/>
        <w:numPr>
          <w:ilvl w:val="0"/>
          <w:numId w:val="1"/>
        </w:numPr>
        <w:spacing w:after="80"/>
      </w:pPr>
      <w:r>
        <w:t xml:space="preserve">UI Kit (src/components/ui/**) — dumb, reusable, presentation-only components (Button, Input, Table, Modal, ...). No page-specific or business logic.</w:t>
      </w:r>
    </w:p>
    <w:p>
      <w:pPr>
        <w:pStyle w:val="ListParagraph"/>
        <w:numPr>
          <w:ilvl w:val="0"/>
          <w:numId w:val="1"/>
        </w:numPr>
        <w:spacing w:after="80"/>
      </w:pPr>
      <w:r>
        <w:t xml:space="preserve">CrudPage (src/components/crud/CrudPage.jsx) — a config-driven composite that assembles the UI Kit into a full list+create+edit+delete page from a declarative field/column config. Used by 7 of the 19 modules to avoid duplicating list/form/delete logic.</w:t>
      </w:r>
    </w:p>
    <w:p>
      <w:pPr>
        <w:pStyle w:val="ListParagraph"/>
        <w:numPr>
          <w:ilvl w:val="0"/>
          <w:numId w:val="1"/>
        </w:numPr>
        <w:spacing w:after="80"/>
      </w:pPr>
      <w:r>
        <w:t xml:space="preserve">Layout (src/components/layout/**) — Sidebar, Topbar, DashboardLayout; renders around every authenticated page via a router Outlet.</w:t>
      </w:r>
    </w:p>
    <w:p>
      <w:pPr>
        <w:pStyle w:val="ListParagraph"/>
        <w:numPr>
          <w:ilvl w:val="0"/>
          <w:numId w:val="1"/>
        </w:numPr>
        <w:spacing w:after="80"/>
      </w:pPr>
      <w:r>
        <w:t xml:space="preserve">Context (src/context/**) — AuthContext (current user, login/logout, role check) and ToastContext (global notifications).</w:t>
      </w:r>
    </w:p>
    <w:p>
      <w:pPr>
        <w:pStyle w:val="ListParagraph"/>
        <w:numPr>
          <w:ilvl w:val="0"/>
          <w:numId w:val="1"/>
        </w:numPr>
        <w:spacing w:after="80"/>
      </w:pPr>
      <w:r>
        <w:t xml:space="preserve">Services (src/services/**) — one function set per entity, backed today by localDb.js, tomorrow by apiClient.js. Pages never import localDb or apiClient directly.</w:t>
      </w:r>
    </w:p>
    <w:p>
      <w:pPr>
        <w:pStyle w:val="ListParagraph"/>
        <w:numPr>
          <w:ilvl w:val="0"/>
          <w:numId w:val="1"/>
        </w:numPr>
        <w:spacing w:after="80"/>
      </w:pPr>
      <w:r>
        <w:t xml:space="preserve">Utils (src/utils/**) — shared constants (roles, status vocabulary, units) and formatters (date, currency, number).</w:t>
      </w:r>
    </w:p>
    <w:p>
      <w:pPr>
        <w:pStyle w:val="Heading1"/>
        <w:spacing w:after="160" w:before="360"/>
      </w:pPr>
      <w:r>
        <w:t xml:space="preserve">5. Module and Screen Specifications</w:t>
      </w:r>
    </w:p>
    <w:p>
      <w:pPr>
        <w:spacing w:after="160"/>
      </w:pPr>
      <w:r>
        <w:t xml:space="preserve">Each module below lists its route, the primary user action(s), and the fields/columns exposed. This is the frontend’s contract with the backend — every field listed here needs a corresponding field in the REST resource once the backend is implemented (see Section 9 for the proposed REST resource list).</w:t>
      </w:r>
    </w:p>
    <w:p>
      <w:pPr>
        <w:pStyle w:val="Heading2"/>
        <w:spacing w:after="120" w:before="280"/>
      </w:pPr>
      <w:r>
        <w:t xml:space="preserve">5.1 Authentication</w:t>
      </w:r>
    </w:p>
    <w:p>
      <w:pPr>
        <w:pStyle w:val="ListParagraph"/>
        <w:numPr>
          <w:ilvl w:val="0"/>
          <w:numId w:val="1"/>
        </w:numPr>
        <w:spacing w:after="80"/>
      </w:pPr>
      <w:r>
        <w:t xml:space="preserve">Route: /login</w:t>
      </w:r>
    </w:p>
    <w:p>
      <w:pPr>
        <w:pStyle w:val="ListParagraph"/>
        <w:numPr>
          <w:ilvl w:val="0"/>
          <w:numId w:val="1"/>
        </w:numPr>
        <w:spacing w:after="80"/>
      </w:pPr>
      <w:r>
        <w:t xml:space="preserve">Fields: username, password</w:t>
      </w:r>
    </w:p>
    <w:p>
      <w:pPr>
        <w:pStyle w:val="ListParagraph"/>
        <w:numPr>
          <w:ilvl w:val="0"/>
          <w:numId w:val="1"/>
        </w:numPr>
        <w:spacing w:after="80"/>
      </w:pPr>
      <w:r>
        <w:t xml:space="preserve">Behavior: on success, redirect to Dashboard; session persisted client-side until logout.</w:t>
      </w:r>
    </w:p>
    <w:p>
      <w:pPr>
        <w:pStyle w:val="Heading2"/>
        <w:spacing w:after="120" w:before="280"/>
      </w:pPr>
      <w:r>
        <w:t xml:space="preserve">5.2 Dashboard</w:t>
      </w:r>
    </w:p>
    <w:p>
      <w:pPr>
        <w:pStyle w:val="ListParagraph"/>
        <w:numPr>
          <w:ilvl w:val="0"/>
          <w:numId w:val="1"/>
        </w:numPr>
        <w:spacing w:after="80"/>
      </w:pPr>
      <w:r>
        <w:t xml:space="preserve">Route: / (protected)</w:t>
      </w:r>
    </w:p>
    <w:p>
      <w:pPr>
        <w:pStyle w:val="ListParagraph"/>
        <w:numPr>
          <w:ilvl w:val="0"/>
          <w:numId w:val="1"/>
        </w:numPr>
        <w:spacing w:after="80"/>
      </w:pPr>
      <w:r>
        <w:t xml:space="preserve">Widgets: total inventory value, items at/below reorder level, pending goods receipts, pending requisitions, low-stock alert list, recent transactions list, inventory value by category, recent goods receipts table.</w:t>
      </w:r>
    </w:p>
    <w:p>
      <w:pPr>
        <w:pStyle w:val="Heading2"/>
        <w:spacing w:after="120" w:before="280"/>
      </w:pPr>
      <w:r>
        <w:t xml:space="preserve">5.3 Stores</w:t>
      </w:r>
    </w:p>
    <w:p>
      <w:pPr>
        <w:pStyle w:val="ListParagraph"/>
        <w:numPr>
          <w:ilvl w:val="0"/>
          <w:numId w:val="1"/>
        </w:numPr>
        <w:spacing w:after="80"/>
      </w:pPr>
      <w:r>
        <w:t xml:space="preserve">Route: /stores — CRUD</w:t>
      </w:r>
    </w:p>
    <w:p>
      <w:pPr>
        <w:pStyle w:val="ListParagraph"/>
        <w:numPr>
          <w:ilvl w:val="0"/>
          <w:numId w:val="1"/>
        </w:numPr>
        <w:spacing w:after="80"/>
      </w:pPr>
      <w:r>
        <w:t xml:space="preserve">Fields: name, code, type (Main Store / Department Store / Cafe Store), location, store head, active flag.</w:t>
      </w:r>
    </w:p>
    <w:p>
      <w:pPr>
        <w:pStyle w:val="Heading2"/>
        <w:spacing w:after="120" w:before="280"/>
      </w:pPr>
      <w:r>
        <w:t xml:space="preserve">5.4 Item Categories</w:t>
      </w:r>
    </w:p>
    <w:p>
      <w:pPr>
        <w:pStyle w:val="ListParagraph"/>
        <w:numPr>
          <w:ilvl w:val="0"/>
          <w:numId w:val="1"/>
        </w:numPr>
        <w:spacing w:after="80"/>
      </w:pPr>
      <w:r>
        <w:t xml:space="preserve">Route: /categories — CRUD</w:t>
      </w:r>
    </w:p>
    <w:p>
      <w:pPr>
        <w:pStyle w:val="ListParagraph"/>
        <w:numPr>
          <w:ilvl w:val="0"/>
          <w:numId w:val="1"/>
        </w:numPr>
        <w:spacing w:after="80"/>
      </w:pPr>
      <w:r>
        <w:t xml:space="preserve">Fields: account code (aligned to FGE chart-of-accounts, e.g. 4402), name, belongs-to store, description.</w:t>
      </w:r>
    </w:p>
    <w:p>
      <w:pPr>
        <w:pStyle w:val="Heading2"/>
        <w:spacing w:after="120" w:before="280"/>
      </w:pPr>
      <w:r>
        <w:t xml:space="preserve">5.5 Items &amp; Locations</w:t>
      </w:r>
    </w:p>
    <w:p>
      <w:pPr>
        <w:pStyle w:val="ListParagraph"/>
        <w:numPr>
          <w:ilvl w:val="0"/>
          <w:numId w:val="1"/>
        </w:numPr>
        <w:spacing w:after="80"/>
      </w:pPr>
      <w:r>
        <w:t xml:space="preserve">Route: /items — CRUD</w:t>
      </w:r>
    </w:p>
    <w:p>
      <w:pPr>
        <w:pStyle w:val="ListParagraph"/>
        <w:numPr>
          <w:ilvl w:val="0"/>
          <w:numId w:val="1"/>
        </w:numPr>
        <w:spacing w:after="80"/>
      </w:pPr>
      <w:r>
        <w:t xml:space="preserve">Fields: item code, name, category, store, bin/location, unit of issue, quantity on hand, unit price, minimum level, reorder level, maximum level.</w:t>
      </w:r>
    </w:p>
    <w:p>
      <w:pPr>
        <w:pStyle w:val="ListParagraph"/>
        <w:numPr>
          <w:ilvl w:val="0"/>
          <w:numId w:val="1"/>
        </w:numPr>
        <w:spacing w:after="80"/>
      </w:pPr>
      <w:r>
        <w:t xml:space="preserve">Behavior: rows below reorder level are flagged with a warning indicator, feeding the Dashboard low-stock widget and the Reports low-stock report.</w:t>
      </w:r>
    </w:p>
    <w:p>
      <w:pPr>
        <w:pStyle w:val="Heading2"/>
        <w:spacing w:after="120" w:before="280"/>
      </w:pPr>
      <w:r>
        <w:t xml:space="preserve">5.6 Goods Receipt (GRN)</w:t>
      </w:r>
    </w:p>
    <w:p>
      <w:pPr>
        <w:pStyle w:val="ListParagraph"/>
        <w:numPr>
          <w:ilvl w:val="0"/>
          <w:numId w:val="1"/>
        </w:numPr>
        <w:spacing w:after="80"/>
      </w:pPr>
      <w:r>
        <w:t xml:space="preserve">Route: /goods-receipt — list + create + view</w:t>
      </w:r>
    </w:p>
    <w:p>
      <w:pPr>
        <w:pStyle w:val="ListParagraph"/>
        <w:numPr>
          <w:ilvl w:val="0"/>
          <w:numId w:val="1"/>
        </w:numPr>
        <w:spacing w:after="80"/>
      </w:pPr>
      <w:r>
        <w:t xml:space="preserve">Header fields: GRN reference (system-generated), supplier/donor, PO/donation reference, receiving store, received date, received by.</w:t>
      </w:r>
    </w:p>
    <w:p>
      <w:pPr>
        <w:pStyle w:val="ListParagraph"/>
        <w:numPr>
          <w:ilvl w:val="0"/>
          <w:numId w:val="1"/>
        </w:numPr>
        <w:spacing w:after="80"/>
      </w:pPr>
      <w:r>
        <w:t xml:space="preserve">Line fields: item, quantity, unit price (repeatable).</w:t>
      </w:r>
    </w:p>
    <w:p>
      <w:pPr>
        <w:pStyle w:val="ListParagraph"/>
        <w:numPr>
          <w:ilvl w:val="0"/>
          <w:numId w:val="1"/>
        </w:numPr>
        <w:spacing w:after="80"/>
      </w:pPr>
      <w:r>
        <w:t xml:space="preserve">Status lifecycle: Pending → Under Evaluation → Approved / Rejected.</w:t>
      </w:r>
    </w:p>
    <w:p>
      <w:pPr>
        <w:pStyle w:val="Heading2"/>
        <w:spacing w:after="120" w:before="280"/>
      </w:pPr>
      <w:r>
        <w:t xml:space="preserve">5.7 Technical Evaluation</w:t>
      </w:r>
    </w:p>
    <w:p>
      <w:pPr>
        <w:pStyle w:val="ListParagraph"/>
        <w:numPr>
          <w:ilvl w:val="0"/>
          <w:numId w:val="1"/>
        </w:numPr>
        <w:spacing w:after="80"/>
      </w:pPr>
      <w:r>
        <w:t xml:space="preserve">Route: /goods-receipt/evaluation — review queue + approve/reject</w:t>
      </w:r>
    </w:p>
    <w:p>
      <w:pPr>
        <w:pStyle w:val="ListParagraph"/>
        <w:numPr>
          <w:ilvl w:val="0"/>
          <w:numId w:val="1"/>
        </w:numPr>
        <w:spacing w:after="80"/>
      </w:pPr>
      <w:r>
        <w:t xml:space="preserve">Behavior: lists GRNs in Pending/Under Evaluation status; reviewer records an evaluation note and an Approve or Reject decision, which updates the GRN status.</w:t>
      </w:r>
    </w:p>
    <w:p>
      <w:pPr>
        <w:pStyle w:val="Heading2"/>
        <w:spacing w:after="120" w:before="280"/>
      </w:pPr>
      <w:r>
        <w:t xml:space="preserve">5.8 Stock Cards</w:t>
      </w:r>
    </w:p>
    <w:p>
      <w:pPr>
        <w:pStyle w:val="ListParagraph"/>
        <w:numPr>
          <w:ilvl w:val="0"/>
          <w:numId w:val="1"/>
        </w:numPr>
        <w:spacing w:after="80"/>
      </w:pPr>
      <w:r>
        <w:t xml:space="preserve">Route: /stock-cards — read-only list + detail ledger</w:t>
      </w:r>
    </w:p>
    <w:p>
      <w:pPr>
        <w:pStyle w:val="ListParagraph"/>
        <w:numPr>
          <w:ilvl w:val="0"/>
          <w:numId w:val="1"/>
        </w:numPr>
        <w:spacing w:after="80"/>
      </w:pPr>
      <w:r>
        <w:t xml:space="preserve">Detail view: chronological transaction ledger per item (date, type, reference, qty in, qty out, unit price, running balance), valued FIFO per SRS 3.1/MoFED manual §5.4.</w:t>
      </w:r>
    </w:p>
    <w:p>
      <w:pPr>
        <w:pStyle w:val="Heading2"/>
        <w:spacing w:after="120" w:before="280"/>
      </w:pPr>
      <w:r>
        <w:t xml:space="preserve">5.9 Bin Cards</w:t>
      </w:r>
    </w:p>
    <w:p>
      <w:pPr>
        <w:pStyle w:val="ListParagraph"/>
        <w:numPr>
          <w:ilvl w:val="0"/>
          <w:numId w:val="1"/>
        </w:numPr>
        <w:spacing w:after="80"/>
      </w:pPr>
      <w:r>
        <w:t xml:space="preserve">Route: /bin-cards — read-only list</w:t>
      </w:r>
    </w:p>
    <w:p>
      <w:pPr>
        <w:pStyle w:val="ListParagraph"/>
        <w:numPr>
          <w:ilvl w:val="0"/>
          <w:numId w:val="1"/>
        </w:numPr>
        <w:spacing w:after="80"/>
      </w:pPr>
      <w:r>
        <w:t xml:space="preserve">Fields: bin, store, item stored, last movement date, quantity on hand.</w:t>
      </w:r>
    </w:p>
    <w:p>
      <w:pPr>
        <w:pStyle w:val="Heading2"/>
        <w:spacing w:after="120" w:before="280"/>
      </w:pPr>
      <w:r>
        <w:t xml:space="preserve">5.10 Stock Transfer (bin-to-bin)</w:t>
      </w:r>
    </w:p>
    <w:p>
      <w:pPr>
        <w:pStyle w:val="ListParagraph"/>
        <w:numPr>
          <w:ilvl w:val="0"/>
          <w:numId w:val="1"/>
        </w:numPr>
        <w:spacing w:after="80"/>
      </w:pPr>
      <w:r>
        <w:t xml:space="preserve">Route: /stock-transfer — CRUD</w:t>
      </w:r>
    </w:p>
    <w:p>
      <w:pPr>
        <w:pStyle w:val="ListParagraph"/>
        <w:numPr>
          <w:ilvl w:val="0"/>
          <w:numId w:val="1"/>
        </w:numPr>
        <w:spacing w:after="80"/>
      </w:pPr>
      <w:r>
        <w:t xml:space="preserve">Fields: item, from bin, to bin, quantity, date, transferred by.</w:t>
      </w:r>
    </w:p>
    <w:p>
      <w:pPr>
        <w:pStyle w:val="Heading2"/>
        <w:spacing w:after="120" w:before="280"/>
      </w:pPr>
      <w:r>
        <w:t xml:space="preserve">5.11 Store Requisitions</w:t>
      </w:r>
    </w:p>
    <w:p>
      <w:pPr>
        <w:pStyle w:val="ListParagraph"/>
        <w:numPr>
          <w:ilvl w:val="0"/>
          <w:numId w:val="1"/>
        </w:numPr>
        <w:spacing w:after="80"/>
      </w:pPr>
      <w:r>
        <w:t xml:space="preserve">Route: /requisitions — list + create + view/approve/reject</w:t>
      </w:r>
    </w:p>
    <w:p>
      <w:pPr>
        <w:pStyle w:val="ListParagraph"/>
        <w:numPr>
          <w:ilvl w:val="0"/>
          <w:numId w:val="1"/>
        </w:numPr>
        <w:spacing w:after="80"/>
      </w:pPr>
      <w:r>
        <w:t xml:space="preserve">Header fields: SR reference (system-generated), requesting department, issuing store, requested by, date.</w:t>
      </w:r>
    </w:p>
    <w:p>
      <w:pPr>
        <w:pStyle w:val="ListParagraph"/>
        <w:numPr>
          <w:ilvl w:val="0"/>
          <w:numId w:val="1"/>
        </w:numPr>
        <w:spacing w:after="80"/>
      </w:pPr>
      <w:r>
        <w:t xml:space="preserve">Line fields: item, quantity (repeatable).</w:t>
      </w:r>
    </w:p>
    <w:p>
      <w:pPr>
        <w:pStyle w:val="ListParagraph"/>
        <w:numPr>
          <w:ilvl w:val="0"/>
          <w:numId w:val="1"/>
        </w:numPr>
        <w:spacing w:after="80"/>
      </w:pPr>
      <w:r>
        <w:t xml:space="preserve">Status lifecycle: Pending → Approved / Rejected.</w:t>
      </w:r>
    </w:p>
    <w:p>
      <w:pPr>
        <w:pStyle w:val="Heading2"/>
        <w:spacing w:after="120" w:before="280"/>
      </w:pPr>
      <w:r>
        <w:t xml:space="preserve">5.12 Issue Vouchers (SIV / ISIV)</w:t>
      </w:r>
    </w:p>
    <w:p>
      <w:pPr>
        <w:pStyle w:val="ListParagraph"/>
        <w:numPr>
          <w:ilvl w:val="0"/>
          <w:numId w:val="1"/>
        </w:numPr>
        <w:spacing w:after="80"/>
      </w:pPr>
      <w:r>
        <w:t xml:space="preserve">Route: /issue-vouchers — list + generate + view/print</w:t>
      </w:r>
    </w:p>
    <w:p>
      <w:pPr>
        <w:pStyle w:val="ListParagraph"/>
        <w:numPr>
          <w:ilvl w:val="0"/>
          <w:numId w:val="1"/>
        </w:numPr>
        <w:spacing w:after="80"/>
      </w:pPr>
      <w:r>
        <w:t xml:space="preserve">Behavior: generated only from an Approved requisition; voucher type (SIV vs ISIV) is inferred from whether the requesting department is itself a store (inter-store issue).</w:t>
      </w:r>
    </w:p>
    <w:p>
      <w:pPr>
        <w:pStyle w:val="ListParagraph"/>
        <w:numPr>
          <w:ilvl w:val="0"/>
          <w:numId w:val="1"/>
        </w:numPr>
        <w:spacing w:after="80"/>
      </w:pPr>
      <w:r>
        <w:t xml:space="preserve">Fields: voucher reference (system-generated), type, source requisition reference, issued to, issued by, date, line items (item, qty, unit price).</w:t>
      </w:r>
    </w:p>
    <w:p>
      <w:pPr>
        <w:pStyle w:val="Heading2"/>
        <w:spacing w:after="120" w:before="280"/>
      </w:pPr>
      <w:r>
        <w:t xml:space="preserve">5.13 Fixed Assets</w:t>
      </w:r>
    </w:p>
    <w:p>
      <w:pPr>
        <w:pStyle w:val="ListParagraph"/>
        <w:numPr>
          <w:ilvl w:val="0"/>
          <w:numId w:val="1"/>
        </w:numPr>
        <w:spacing w:after="80"/>
      </w:pPr>
      <w:r>
        <w:t xml:space="preserve">Route: /fixed-assets — CRUD</w:t>
      </w:r>
    </w:p>
    <w:p>
      <w:pPr>
        <w:pStyle w:val="ListParagraph"/>
        <w:numPr>
          <w:ilvl w:val="0"/>
          <w:numId w:val="1"/>
        </w:numPr>
        <w:spacing w:after="80"/>
      </w:pPr>
      <w:r>
        <w:t xml:space="preserve">Fields: asset tag, name, category, store, assigned to, status (In Use / In Store / Under Repair / Disposed), acquisition date, value.</w:t>
      </w:r>
    </w:p>
    <w:p>
      <w:pPr>
        <w:pStyle w:val="Heading2"/>
        <w:spacing w:after="120" w:before="280"/>
      </w:pPr>
      <w:r>
        <w:t xml:space="preserve">5.14 Users</w:t>
      </w:r>
    </w:p>
    <w:p>
      <w:pPr>
        <w:pStyle w:val="ListParagraph"/>
        <w:numPr>
          <w:ilvl w:val="0"/>
          <w:numId w:val="1"/>
        </w:numPr>
        <w:spacing w:after="80"/>
      </w:pPr>
      <w:r>
        <w:t xml:space="preserve">Route: /users — CRUD</w:t>
      </w:r>
    </w:p>
    <w:p>
      <w:pPr>
        <w:pStyle w:val="ListParagraph"/>
        <w:numPr>
          <w:ilvl w:val="0"/>
          <w:numId w:val="1"/>
        </w:numPr>
        <w:spacing w:after="80"/>
      </w:pPr>
      <w:r>
        <w:t xml:space="preserve">Fields: full name, username, email, role, active flag.</w:t>
      </w:r>
    </w:p>
    <w:p>
      <w:pPr>
        <w:pStyle w:val="Heading2"/>
        <w:spacing w:after="120" w:before="280"/>
      </w:pPr>
      <w:r>
        <w:t xml:space="preserve">5.15 Material Returns (SRN)</w:t>
      </w:r>
    </w:p>
    <w:p>
      <w:pPr>
        <w:pStyle w:val="ListParagraph"/>
        <w:numPr>
          <w:ilvl w:val="0"/>
          <w:numId w:val="1"/>
        </w:numPr>
        <w:spacing w:after="80"/>
      </w:pPr>
      <w:r>
        <w:t xml:space="preserve">Route: /material-return — CRUD (v1); Evaluate+Approve workflow recommended for v2, see Section 9</w:t>
      </w:r>
    </w:p>
    <w:p>
      <w:pPr>
        <w:pStyle w:val="ListParagraph"/>
        <w:numPr>
          <w:ilvl w:val="0"/>
          <w:numId w:val="1"/>
        </w:numPr>
        <w:spacing w:after="80"/>
      </w:pPr>
      <w:r>
        <w:t xml:space="preserve">Fields: SRN reference, department, item, quantity, reason, date, status.</w:t>
      </w:r>
    </w:p>
    <w:p>
      <w:pPr>
        <w:pStyle w:val="Heading2"/>
        <w:spacing w:after="120" w:before="280"/>
      </w:pPr>
      <w:r>
        <w:t xml:space="preserve">5.16 Material Transfers (store-to-store)</w:t>
      </w:r>
    </w:p>
    <w:p>
      <w:pPr>
        <w:pStyle w:val="ListParagraph"/>
        <w:numPr>
          <w:ilvl w:val="0"/>
          <w:numId w:val="1"/>
        </w:numPr>
        <w:spacing w:after="80"/>
      </w:pPr>
      <w:r>
        <w:t xml:space="preserve">Route: /material-transfer — CRUD</w:t>
      </w:r>
    </w:p>
    <w:p>
      <w:pPr>
        <w:pStyle w:val="ListParagraph"/>
        <w:numPr>
          <w:ilvl w:val="0"/>
          <w:numId w:val="1"/>
        </w:numPr>
        <w:spacing w:after="80"/>
      </w:pPr>
      <w:r>
        <w:t xml:space="preserve">Fields: transfer reference, from store, to store, item, quantity, date, status.</w:t>
      </w:r>
    </w:p>
    <w:p>
      <w:pPr>
        <w:pStyle w:val="Heading2"/>
        <w:spacing w:after="120" w:before="280"/>
      </w:pPr>
      <w:r>
        <w:t xml:space="preserve">5.17 Disposal Management</w:t>
      </w:r>
    </w:p>
    <w:p>
      <w:pPr>
        <w:pStyle w:val="ListParagraph"/>
        <w:numPr>
          <w:ilvl w:val="0"/>
          <w:numId w:val="1"/>
        </w:numPr>
        <w:spacing w:after="80"/>
      </w:pPr>
      <w:r>
        <w:t xml:space="preserve">Route: /disposal — CRUD</w:t>
      </w:r>
    </w:p>
    <w:p>
      <w:pPr>
        <w:pStyle w:val="ListParagraph"/>
        <w:numPr>
          <w:ilvl w:val="0"/>
          <w:numId w:val="1"/>
        </w:numPr>
        <w:spacing w:after="80"/>
      </w:pPr>
      <w:r>
        <w:t xml:space="preserve">Fields: disposal reference, item, store, quantity, reason, date flagged, status.</w:t>
      </w:r>
    </w:p>
    <w:p>
      <w:pPr>
        <w:pStyle w:val="Heading2"/>
        <w:spacing w:after="120" w:before="280"/>
      </w:pPr>
      <w:r>
        <w:t xml:space="preserve">5.18 Reports</w:t>
      </w:r>
    </w:p>
    <w:p>
      <w:pPr>
        <w:pStyle w:val="ListParagraph"/>
        <w:numPr>
          <w:ilvl w:val="0"/>
          <w:numId w:val="1"/>
        </w:numPr>
        <w:spacing w:after="80"/>
      </w:pPr>
      <w:r>
        <w:t xml:space="preserve">Route: /reports</w:t>
      </w:r>
    </w:p>
    <w:p>
      <w:pPr>
        <w:pStyle w:val="ListParagraph"/>
        <w:numPr>
          <w:ilvl w:val="0"/>
          <w:numId w:val="1"/>
        </w:numPr>
        <w:spacing w:after="80"/>
      </w:pPr>
      <w:r>
        <w:t xml:space="preserve">Report types: Inventory Summary (value by item), Low/Reorder Level Stock, Stock Movement, Goods Receipt Status, Requisition Status.</w:t>
      </w:r>
    </w:p>
    <w:p>
      <w:pPr>
        <w:pStyle w:val="ListParagraph"/>
        <w:numPr>
          <w:ilvl w:val="0"/>
          <w:numId w:val="1"/>
        </w:numPr>
        <w:spacing w:after="80"/>
      </w:pPr>
      <w:r>
        <w:t xml:space="preserve">Actions: on-screen table, CSV export, print.</w:t>
      </w:r>
    </w:p>
    <w:p>
      <w:pPr>
        <w:pStyle w:val="Heading2"/>
        <w:spacing w:after="120" w:before="280"/>
      </w:pPr>
      <w:r>
        <w:t xml:space="preserve">5.19 Audit Log</w:t>
      </w:r>
    </w:p>
    <w:p>
      <w:pPr>
        <w:pStyle w:val="ListParagraph"/>
        <w:numPr>
          <w:ilvl w:val="0"/>
          <w:numId w:val="1"/>
        </w:numPr>
        <w:spacing w:after="80"/>
      </w:pPr>
      <w:r>
        <w:t xml:space="preserve">Route: /audit-log — read-only</w:t>
      </w:r>
    </w:p>
    <w:p>
      <w:pPr>
        <w:pStyle w:val="ListParagraph"/>
        <w:numPr>
          <w:ilvl w:val="0"/>
          <w:numId w:val="1"/>
        </w:numPr>
        <w:spacing w:after="80"/>
      </w:pPr>
      <w:r>
        <w:t xml:space="preserve">Fields: timestamp, user, module, action.</w:t>
      </w:r>
    </w:p>
    <w:p>
      <w:pPr>
        <w:pStyle w:val="Heading1"/>
        <w:spacing w:after="160" w:before="360"/>
      </w:pPr>
      <w:r>
        <w:t xml:space="preserve">6. Component, State and Navigation Architecture</w:t>
      </w:r>
    </w:p>
    <w:p>
      <w:pPr>
        <w:pStyle w:val="Heading2"/>
        <w:spacing w:after="120" w:before="280"/>
      </w:pPr>
      <w:r>
        <w:t xml:space="preserve">6.1 Reusable UI Kit</w:t>
      </w:r>
    </w:p>
    <w:p>
      <w:pPr>
        <w:spacing w:after="160"/>
      </w:pPr>
      <w:r>
        <w:t xml:space="preserve">All screens are built from one shared set of presentation components, so the whole application looks and behaves consistently: Button, Input, Select, Textarea, Table (with built-in pagination), Modal, ConfirmDialog, Badge, StatusBadge, Card, StatCard, SearchInput, PageHeader, Loader, EmptyState.</w:t>
      </w:r>
    </w:p>
    <w:p>
      <w:pPr>
        <w:pStyle w:val="Heading2"/>
        <w:spacing w:after="120" w:before="280"/>
      </w:pPr>
      <w:r>
        <w:t xml:space="preserve">6.2 Authentication State</w:t>
      </w:r>
    </w:p>
    <w:p>
      <w:pPr>
        <w:spacing w:after="160"/>
      </w:pPr>
      <w:r>
        <w:t xml:space="preserve">AuthContext exposes: current user object, isAuthenticated, login(username, password), logout(), and hasRole(...roles). ProtectedRoute redirects unauthenticated users to /login. Session persists in localStorage between page reloads (mirroring how a JWT would be persisted once the real backend issues one).</w:t>
      </w:r>
    </w:p>
    <w:p>
      <w:pPr>
        <w:pStyle w:val="Heading2"/>
        <w:spacing w:after="120" w:before="280"/>
      </w:pPr>
      <w:r>
        <w:t xml:space="preserve">6.3 Notifications</w:t>
      </w:r>
    </w:p>
    <w:p>
      <w:pPr>
        <w:spacing w:after="160"/>
      </w:pPr>
      <w:r>
        <w:t xml:space="preserve">ToastContext exposes push(message, type) with types success / error / info, rendered as a stacked toast list in the bottom-right corner, auto-dismissing after 4 seconds.</w:t>
      </w:r>
    </w:p>
    <w:p>
      <w:pPr>
        <w:pStyle w:val="Heading2"/>
        <w:spacing w:after="120" w:before="280"/>
      </w:pPr>
      <w:r>
        <w:t xml:space="preserve">6.4 Navigation</w:t>
      </w:r>
    </w:p>
    <w:p>
      <w:pPr>
        <w:spacing w:after="160"/>
      </w:pPr>
      <w:r>
        <w:t xml:space="preserve">The sidebar is generated from a single config file (src/components/layout/navConfig.js), grouped into: Overview, Inventory Setup, Stock Receiving, Stock Records, Requisitions &amp; Issues, Returns &amp; Transfers, Assets &amp; Disposal, Administration — mirroring the module list in Section 2.3. Adding a module to the sidebar is a one-line config change plus one route registration.</w:t>
      </w:r>
    </w:p>
    <w:p>
      <w:pPr>
        <w:pStyle w:val="Heading2"/>
        <w:spacing w:after="120" w:before="280"/>
      </w:pPr>
      <w:r>
        <w:t xml:space="preserve">6.5 The Generic CrudPage Pattern</w:t>
      </w:r>
    </w:p>
    <w:p>
      <w:pPr>
        <w:spacing w:after="160"/>
      </w:pPr>
      <w:r>
        <w:t xml:space="preserve">Seven modules (Stores, Item Categories, Users, Fixed Assets, Material Returns, Material Transfers, Disposal) share one CrudPage component, configured with: a title/subtitle, the entity service, table column definitions, and form field definitions (label, type, options, required). This was a deliberate architecture decision: these modules are structurally identical (search → table → modal form → confirm delete) and gain nothing from bespoke code, while the four workflow-heavy modules (Goods Receipt, Requisitions, Issue Vouchers, Technical Evaluation) are hand-built because they have real multi-step business logic that a generic component would obscure rather than simplify.</w:t>
      </w:r>
    </w:p>
    <w:p>
      <w:pPr>
        <w:pStyle w:val="Heading1"/>
        <w:spacing w:after="160" w:before="360"/>
      </w:pPr>
      <w:r>
        <w:t xml:space="preserve">7. Data Access and API Integration Strategy</w:t>
      </w:r>
    </w:p>
    <w:p>
      <w:pPr>
        <w:pStyle w:val="Heading2"/>
        <w:spacing w:after="120" w:before="280"/>
      </w:pPr>
      <w:r>
        <w:t xml:space="preserve">7.1 Current State: Mock Data Layer</w:t>
      </w:r>
    </w:p>
    <w:p>
      <w:pPr>
        <w:spacing w:after="160"/>
      </w:pPr>
      <w:r>
        <w:t xml:space="preserve">Because the backend is being developed in parallel by a teammate, the frontend is fully functional today against a mock, localStorage-backed database (src/services/localDb.js), seeded with realistic demo data for every module (src/services/seed.js). This lets the frontend be developed, tested, and demonstrated on its own schedule.</w:t>
      </w:r>
    </w:p>
    <w:p>
      <w:pPr>
        <w:pStyle w:val="Heading2"/>
        <w:spacing w:after="120" w:before="280"/>
      </w:pPr>
      <w:r>
        <w:t xml:space="preserve">7.2 The Swap-In Contract</w:t>
      </w:r>
    </w:p>
    <w:p>
      <w:pPr>
        <w:spacing w:after="160"/>
      </w:pPr>
      <w:r>
        <w:t xml:space="preserve">Every module’s service (e.g. storeService, itemService) is created by a single factory function, createEntityService(collectionName), which returns { list, get, create, update, remove }. Pages call only these five functions — never the mock database or the HTTP client directly. This means switching the entire app to the real backend is a two-file change:</w:t>
      </w:r>
    </w:p>
    <w:p>
      <w:pPr>
        <w:pStyle w:val="ListParagraph"/>
        <w:numPr>
          <w:ilvl w:val="0"/>
          <w:numId w:val="2"/>
        </w:numPr>
        <w:spacing w:after="80"/>
      </w:pPr>
      <w:r>
        <w:t xml:space="preserve">Set VITE_API_BASE_URL in a .env file to the Express server’s address.</w:t>
      </w:r>
    </w:p>
    <w:p>
      <w:pPr>
        <w:pStyle w:val="ListParagraph"/>
        <w:numPr>
          <w:ilvl w:val="0"/>
          <w:numId w:val="2"/>
        </w:numPr>
        <w:spacing w:after="80"/>
      </w:pPr>
      <w:r>
        <w:t xml:space="preserve">In src/services/entityService.js, change the five function bodies to call src/services/apiClient.js’s api.list/get/create/update/remove instead of localDb’s db.list/get/create/update/remove.</w:t>
      </w:r>
    </w:p>
    <w:p>
      <w:pPr>
        <w:spacing w:after="160"/>
      </w:pPr>
      <w:r>
        <w:t xml:space="preserve">No page, no component, and no other service file needs to change.</w:t>
      </w:r>
    </w:p>
    <w:p>
      <w:pPr>
        <w:pStyle w:val="Heading2"/>
        <w:spacing w:after="120" w:before="280"/>
      </w:pPr>
      <w:r>
        <w:t xml:space="preserve">7.3 Proposed REST Resource List (for the backend team)</w:t>
      </w:r>
    </w:p>
    <w:p>
      <w:pPr>
        <w:spacing w:after="160"/>
      </w:pPr>
      <w:r>
        <w:t xml:space="preserve">Based on the field lists in Section 5, the following REST resources are expected. Exact payload shape can be finalized jointly once the backend’s database design is ready; the frontend’s field names above are the recommended starting point.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5600"/>
      </w:tblGrid>
      <w:tr>
        <w:trPr>
          <w:tblHeader/>
        </w:trPr>
        <w:tc>
          <w:tcPr>
            <w:tcW w:type="dxa" w:w="3400"/>
            <w:shd w:fill="1D4ED8" w:val="clear"/>
            <w:tcMar>
              <w:top w:type="dxa" w:w="80"/>
              <w:left w:type="dxa" w:w="100"/>
              <w:bottom w:type="dxa" w:w="80"/>
              <w:right w:type="dxa" w:w="100"/>
            </w:tcMar>
          </w:tcPr>
          <w:p>
            <w:r>
              <w:rPr>
                <w:b/>
                <w:bCs/>
                <w:color w:val="FFFFFF"/>
              </w:rPr>
              <w:t xml:space="preserve">Resource</w:t>
            </w:r>
          </w:p>
        </w:tc>
        <w:tc>
          <w:tcPr>
            <w:tcW w:type="dxa" w:w="5600"/>
            <w:shd w:fill="1D4ED8" w:val="clear"/>
            <w:tcMar>
              <w:top w:type="dxa" w:w="80"/>
              <w:left w:type="dxa" w:w="100"/>
              <w:bottom w:type="dxa" w:w="80"/>
              <w:right w:type="dxa" w:w="100"/>
            </w:tcMar>
          </w:tcPr>
          <w:p>
            <w:r>
              <w:rPr>
                <w:b/>
                <w:bCs/>
                <w:color w:val="FFFFFF"/>
              </w:rPr>
              <w:t xml:space="preserve">Suggested Endpoint Prefix</w:t>
            </w:r>
          </w:p>
        </w:tc>
      </w:tr>
      <w:tr>
        <w:tc>
          <w:tcPr>
            <w:tcW w:type="dxa" w:w="3400"/>
            <w:tcMar>
              <w:top w:type="dxa" w:w="80"/>
              <w:left w:type="dxa" w:w="100"/>
              <w:bottom w:type="dxa" w:w="80"/>
              <w:right w:type="dxa" w:w="100"/>
            </w:tcMar>
          </w:tcPr>
          <w:p>
            <w:r>
              <w:rPr>
                <w:b w:val="false"/>
                <w:bCs w:val="false"/>
              </w:rPr>
              <w:t xml:space="preserve">Stores</w:t>
            </w:r>
          </w:p>
        </w:tc>
        <w:tc>
          <w:tcPr>
            <w:tcW w:type="dxa" w:w="5600"/>
            <w:tcMar>
              <w:top w:type="dxa" w:w="80"/>
              <w:left w:type="dxa" w:w="100"/>
              <w:bottom w:type="dxa" w:w="80"/>
              <w:right w:type="dxa" w:w="100"/>
            </w:tcMar>
          </w:tcPr>
          <w:p>
            <w:r>
              <w:rPr>
                <w:b w:val="false"/>
                <w:bCs w:val="false"/>
              </w:rPr>
              <w:t xml:space="preserve">/api/stores</w:t>
            </w:r>
          </w:p>
        </w:tc>
      </w:tr>
      <w:tr>
        <w:tc>
          <w:tcPr>
            <w:tcW w:type="dxa" w:w="3400"/>
            <w:shd w:fill="F8FAFC" w:val="clear"/>
            <w:tcMar>
              <w:top w:type="dxa" w:w="80"/>
              <w:left w:type="dxa" w:w="100"/>
              <w:bottom w:type="dxa" w:w="80"/>
              <w:right w:type="dxa" w:w="100"/>
            </w:tcMar>
          </w:tcPr>
          <w:p>
            <w:r>
              <w:rPr>
                <w:b w:val="false"/>
                <w:bCs w:val="false"/>
              </w:rPr>
              <w:t xml:space="preserve">Categories</w:t>
            </w:r>
          </w:p>
        </w:tc>
        <w:tc>
          <w:tcPr>
            <w:tcW w:type="dxa" w:w="5600"/>
            <w:shd w:fill="F8FAFC" w:val="clear"/>
            <w:tcMar>
              <w:top w:type="dxa" w:w="80"/>
              <w:left w:type="dxa" w:w="100"/>
              <w:bottom w:type="dxa" w:w="80"/>
              <w:right w:type="dxa" w:w="100"/>
            </w:tcMar>
          </w:tcPr>
          <w:p>
            <w:r>
              <w:rPr>
                <w:b w:val="false"/>
                <w:bCs w:val="false"/>
              </w:rPr>
              <w:t xml:space="preserve">/api/categories</w:t>
            </w:r>
          </w:p>
        </w:tc>
      </w:tr>
      <w:tr>
        <w:tc>
          <w:tcPr>
            <w:tcW w:type="dxa" w:w="3400"/>
            <w:tcMar>
              <w:top w:type="dxa" w:w="80"/>
              <w:left w:type="dxa" w:w="100"/>
              <w:bottom w:type="dxa" w:w="80"/>
              <w:right w:type="dxa" w:w="100"/>
            </w:tcMar>
          </w:tcPr>
          <w:p>
            <w:r>
              <w:rPr>
                <w:b w:val="false"/>
                <w:bCs w:val="false"/>
              </w:rPr>
              <w:t xml:space="preserve">Items</w:t>
            </w:r>
          </w:p>
        </w:tc>
        <w:tc>
          <w:tcPr>
            <w:tcW w:type="dxa" w:w="5600"/>
            <w:tcMar>
              <w:top w:type="dxa" w:w="80"/>
              <w:left w:type="dxa" w:w="100"/>
              <w:bottom w:type="dxa" w:w="80"/>
              <w:right w:type="dxa" w:w="100"/>
            </w:tcMar>
          </w:tcPr>
          <w:p>
            <w:r>
              <w:rPr>
                <w:b w:val="false"/>
                <w:bCs w:val="false"/>
              </w:rPr>
              <w:t xml:space="preserve">/api/items</w:t>
            </w:r>
          </w:p>
        </w:tc>
      </w:tr>
      <w:tr>
        <w:tc>
          <w:tcPr>
            <w:tcW w:type="dxa" w:w="3400"/>
            <w:shd w:fill="F8FAFC" w:val="clear"/>
            <w:tcMar>
              <w:top w:type="dxa" w:w="80"/>
              <w:left w:type="dxa" w:w="100"/>
              <w:bottom w:type="dxa" w:w="80"/>
              <w:right w:type="dxa" w:w="100"/>
            </w:tcMar>
          </w:tcPr>
          <w:p>
            <w:r>
              <w:rPr>
                <w:b w:val="false"/>
                <w:bCs w:val="false"/>
              </w:rPr>
              <w:t xml:space="preserve">Goods Receipts</w:t>
            </w:r>
          </w:p>
        </w:tc>
        <w:tc>
          <w:tcPr>
            <w:tcW w:type="dxa" w:w="5600"/>
            <w:shd w:fill="F8FAFC" w:val="clear"/>
            <w:tcMar>
              <w:top w:type="dxa" w:w="80"/>
              <w:left w:type="dxa" w:w="100"/>
              <w:bottom w:type="dxa" w:w="80"/>
              <w:right w:type="dxa" w:w="100"/>
            </w:tcMar>
          </w:tcPr>
          <w:p>
            <w:r>
              <w:rPr>
                <w:b w:val="false"/>
                <w:bCs w:val="false"/>
              </w:rPr>
              <w:t xml:space="preserve">/api/goods-receipts</w:t>
            </w:r>
          </w:p>
        </w:tc>
      </w:tr>
      <w:tr>
        <w:tc>
          <w:tcPr>
            <w:tcW w:type="dxa" w:w="3400"/>
            <w:tcMar>
              <w:top w:type="dxa" w:w="80"/>
              <w:left w:type="dxa" w:w="100"/>
              <w:bottom w:type="dxa" w:w="80"/>
              <w:right w:type="dxa" w:w="100"/>
            </w:tcMar>
          </w:tcPr>
          <w:p>
            <w:r>
              <w:rPr>
                <w:b w:val="false"/>
                <w:bCs w:val="false"/>
              </w:rPr>
              <w:t xml:space="preserve">Stock Transactions (ledger)</w:t>
            </w:r>
          </w:p>
        </w:tc>
        <w:tc>
          <w:tcPr>
            <w:tcW w:type="dxa" w:w="5600"/>
            <w:tcMar>
              <w:top w:type="dxa" w:w="80"/>
              <w:left w:type="dxa" w:w="100"/>
              <w:bottom w:type="dxa" w:w="80"/>
              <w:right w:type="dxa" w:w="100"/>
            </w:tcMar>
          </w:tcPr>
          <w:p>
            <w:r>
              <w:rPr>
                <w:b w:val="false"/>
                <w:bCs w:val="false"/>
              </w:rPr>
              <w:t xml:space="preserve">/api/stock-transactions</w:t>
            </w:r>
          </w:p>
        </w:tc>
      </w:tr>
      <w:tr>
        <w:tc>
          <w:tcPr>
            <w:tcW w:type="dxa" w:w="3400"/>
            <w:shd w:fill="F8FAFC" w:val="clear"/>
            <w:tcMar>
              <w:top w:type="dxa" w:w="80"/>
              <w:left w:type="dxa" w:w="100"/>
              <w:bottom w:type="dxa" w:w="80"/>
              <w:right w:type="dxa" w:w="100"/>
            </w:tcMar>
          </w:tcPr>
          <w:p>
            <w:r>
              <w:rPr>
                <w:b w:val="false"/>
                <w:bCs w:val="false"/>
              </w:rPr>
              <w:t xml:space="preserve">Bin Cards</w:t>
            </w:r>
          </w:p>
        </w:tc>
        <w:tc>
          <w:tcPr>
            <w:tcW w:type="dxa" w:w="5600"/>
            <w:shd w:fill="F8FAFC" w:val="clear"/>
            <w:tcMar>
              <w:top w:type="dxa" w:w="80"/>
              <w:left w:type="dxa" w:w="100"/>
              <w:bottom w:type="dxa" w:w="80"/>
              <w:right w:type="dxa" w:w="100"/>
            </w:tcMar>
          </w:tcPr>
          <w:p>
            <w:r>
              <w:rPr>
                <w:b w:val="false"/>
                <w:bCs w:val="false"/>
              </w:rPr>
              <w:t xml:space="preserve">/api/bin-cards</w:t>
            </w:r>
          </w:p>
        </w:tc>
      </w:tr>
      <w:tr>
        <w:tc>
          <w:tcPr>
            <w:tcW w:type="dxa" w:w="3400"/>
            <w:tcMar>
              <w:top w:type="dxa" w:w="80"/>
              <w:left w:type="dxa" w:w="100"/>
              <w:bottom w:type="dxa" w:w="80"/>
              <w:right w:type="dxa" w:w="100"/>
            </w:tcMar>
          </w:tcPr>
          <w:p>
            <w:r>
              <w:rPr>
                <w:b w:val="false"/>
                <w:bCs w:val="false"/>
              </w:rPr>
              <w:t xml:space="preserve">Bin Transfers</w:t>
            </w:r>
          </w:p>
        </w:tc>
        <w:tc>
          <w:tcPr>
            <w:tcW w:type="dxa" w:w="5600"/>
            <w:tcMar>
              <w:top w:type="dxa" w:w="80"/>
              <w:left w:type="dxa" w:w="100"/>
              <w:bottom w:type="dxa" w:w="80"/>
              <w:right w:type="dxa" w:w="100"/>
            </w:tcMar>
          </w:tcPr>
          <w:p>
            <w:r>
              <w:rPr>
                <w:b w:val="false"/>
                <w:bCs w:val="false"/>
              </w:rPr>
              <w:t xml:space="preserve">/api/bin-transfers</w:t>
            </w:r>
          </w:p>
        </w:tc>
      </w:tr>
      <w:tr>
        <w:tc>
          <w:tcPr>
            <w:tcW w:type="dxa" w:w="3400"/>
            <w:shd w:fill="F8FAFC" w:val="clear"/>
            <w:tcMar>
              <w:top w:type="dxa" w:w="80"/>
              <w:left w:type="dxa" w:w="100"/>
              <w:bottom w:type="dxa" w:w="80"/>
              <w:right w:type="dxa" w:w="100"/>
            </w:tcMar>
          </w:tcPr>
          <w:p>
            <w:r>
              <w:rPr>
                <w:b w:val="false"/>
                <w:bCs w:val="false"/>
              </w:rPr>
              <w:t xml:space="preserve">Requisitions</w:t>
            </w:r>
          </w:p>
        </w:tc>
        <w:tc>
          <w:tcPr>
            <w:tcW w:type="dxa" w:w="5600"/>
            <w:shd w:fill="F8FAFC" w:val="clear"/>
            <w:tcMar>
              <w:top w:type="dxa" w:w="80"/>
              <w:left w:type="dxa" w:w="100"/>
              <w:bottom w:type="dxa" w:w="80"/>
              <w:right w:type="dxa" w:w="100"/>
            </w:tcMar>
          </w:tcPr>
          <w:p>
            <w:r>
              <w:rPr>
                <w:b w:val="false"/>
                <w:bCs w:val="false"/>
              </w:rPr>
              <w:t xml:space="preserve">/api/requisitions</w:t>
            </w:r>
          </w:p>
        </w:tc>
      </w:tr>
      <w:tr>
        <w:tc>
          <w:tcPr>
            <w:tcW w:type="dxa" w:w="3400"/>
            <w:tcMar>
              <w:top w:type="dxa" w:w="80"/>
              <w:left w:type="dxa" w:w="100"/>
              <w:bottom w:type="dxa" w:w="80"/>
              <w:right w:type="dxa" w:w="100"/>
            </w:tcMar>
          </w:tcPr>
          <w:p>
            <w:r>
              <w:rPr>
                <w:b w:val="false"/>
                <w:bCs w:val="false"/>
              </w:rPr>
              <w:t xml:space="preserve">Issue Vouchers</w:t>
            </w:r>
          </w:p>
        </w:tc>
        <w:tc>
          <w:tcPr>
            <w:tcW w:type="dxa" w:w="5600"/>
            <w:tcMar>
              <w:top w:type="dxa" w:w="80"/>
              <w:left w:type="dxa" w:w="100"/>
              <w:bottom w:type="dxa" w:w="80"/>
              <w:right w:type="dxa" w:w="100"/>
            </w:tcMar>
          </w:tcPr>
          <w:p>
            <w:r>
              <w:rPr>
                <w:b w:val="false"/>
                <w:bCs w:val="false"/>
              </w:rPr>
              <w:t xml:space="preserve">/api/issue-vouchers</w:t>
            </w:r>
          </w:p>
        </w:tc>
      </w:tr>
      <w:tr>
        <w:tc>
          <w:tcPr>
            <w:tcW w:type="dxa" w:w="3400"/>
            <w:shd w:fill="F8FAFC" w:val="clear"/>
            <w:tcMar>
              <w:top w:type="dxa" w:w="80"/>
              <w:left w:type="dxa" w:w="100"/>
              <w:bottom w:type="dxa" w:w="80"/>
              <w:right w:type="dxa" w:w="100"/>
            </w:tcMar>
          </w:tcPr>
          <w:p>
            <w:r>
              <w:rPr>
                <w:b w:val="false"/>
                <w:bCs w:val="false"/>
              </w:rPr>
              <w:t xml:space="preserve">Fixed Assets</w:t>
            </w:r>
          </w:p>
        </w:tc>
        <w:tc>
          <w:tcPr>
            <w:tcW w:type="dxa" w:w="5600"/>
            <w:shd w:fill="F8FAFC" w:val="clear"/>
            <w:tcMar>
              <w:top w:type="dxa" w:w="80"/>
              <w:left w:type="dxa" w:w="100"/>
              <w:bottom w:type="dxa" w:w="80"/>
              <w:right w:type="dxa" w:w="100"/>
            </w:tcMar>
          </w:tcPr>
          <w:p>
            <w:r>
              <w:rPr>
                <w:b w:val="false"/>
                <w:bCs w:val="false"/>
              </w:rPr>
              <w:t xml:space="preserve">/api/fixed-assets</w:t>
            </w:r>
          </w:p>
        </w:tc>
      </w:tr>
      <w:tr>
        <w:tc>
          <w:tcPr>
            <w:tcW w:type="dxa" w:w="3400"/>
            <w:tcMar>
              <w:top w:type="dxa" w:w="80"/>
              <w:left w:type="dxa" w:w="100"/>
              <w:bottom w:type="dxa" w:w="80"/>
              <w:right w:type="dxa" w:w="100"/>
            </w:tcMar>
          </w:tcPr>
          <w:p>
            <w:r>
              <w:rPr>
                <w:b w:val="false"/>
                <w:bCs w:val="false"/>
              </w:rPr>
              <w:t xml:space="preserve">Users</w:t>
            </w:r>
          </w:p>
        </w:tc>
        <w:tc>
          <w:tcPr>
            <w:tcW w:type="dxa" w:w="5600"/>
            <w:tcMar>
              <w:top w:type="dxa" w:w="80"/>
              <w:left w:type="dxa" w:w="100"/>
              <w:bottom w:type="dxa" w:w="80"/>
              <w:right w:type="dxa" w:w="100"/>
            </w:tcMar>
          </w:tcPr>
          <w:p>
            <w:r>
              <w:rPr>
                <w:b w:val="false"/>
                <w:bCs w:val="false"/>
              </w:rPr>
              <w:t xml:space="preserve">/api/users</w:t>
            </w:r>
          </w:p>
        </w:tc>
      </w:tr>
      <w:tr>
        <w:tc>
          <w:tcPr>
            <w:tcW w:type="dxa" w:w="3400"/>
            <w:shd w:fill="F8FAFC" w:val="clear"/>
            <w:tcMar>
              <w:top w:type="dxa" w:w="80"/>
              <w:left w:type="dxa" w:w="100"/>
              <w:bottom w:type="dxa" w:w="80"/>
              <w:right w:type="dxa" w:w="100"/>
            </w:tcMar>
          </w:tcPr>
          <w:p>
            <w:r>
              <w:rPr>
                <w:b w:val="false"/>
                <w:bCs w:val="false"/>
              </w:rPr>
              <w:t xml:space="preserve">Material Returns</w:t>
            </w:r>
          </w:p>
        </w:tc>
        <w:tc>
          <w:tcPr>
            <w:tcW w:type="dxa" w:w="5600"/>
            <w:shd w:fill="F8FAFC" w:val="clear"/>
            <w:tcMar>
              <w:top w:type="dxa" w:w="80"/>
              <w:left w:type="dxa" w:w="100"/>
              <w:bottom w:type="dxa" w:w="80"/>
              <w:right w:type="dxa" w:w="100"/>
            </w:tcMar>
          </w:tcPr>
          <w:p>
            <w:r>
              <w:rPr>
                <w:b w:val="false"/>
                <w:bCs w:val="false"/>
              </w:rPr>
              <w:t xml:space="preserve">/api/material-returns</w:t>
            </w:r>
          </w:p>
        </w:tc>
      </w:tr>
      <w:tr>
        <w:tc>
          <w:tcPr>
            <w:tcW w:type="dxa" w:w="3400"/>
            <w:tcMar>
              <w:top w:type="dxa" w:w="80"/>
              <w:left w:type="dxa" w:w="100"/>
              <w:bottom w:type="dxa" w:w="80"/>
              <w:right w:type="dxa" w:w="100"/>
            </w:tcMar>
          </w:tcPr>
          <w:p>
            <w:r>
              <w:rPr>
                <w:b w:val="false"/>
                <w:bCs w:val="false"/>
              </w:rPr>
              <w:t xml:space="preserve">Material Transfers</w:t>
            </w:r>
          </w:p>
        </w:tc>
        <w:tc>
          <w:tcPr>
            <w:tcW w:type="dxa" w:w="5600"/>
            <w:tcMar>
              <w:top w:type="dxa" w:w="80"/>
              <w:left w:type="dxa" w:w="100"/>
              <w:bottom w:type="dxa" w:w="80"/>
              <w:right w:type="dxa" w:w="100"/>
            </w:tcMar>
          </w:tcPr>
          <w:p>
            <w:r>
              <w:rPr>
                <w:b w:val="false"/>
                <w:bCs w:val="false"/>
              </w:rPr>
              <w:t xml:space="preserve">/api/material-transfers</w:t>
            </w:r>
          </w:p>
        </w:tc>
      </w:tr>
      <w:tr>
        <w:tc>
          <w:tcPr>
            <w:tcW w:type="dxa" w:w="3400"/>
            <w:shd w:fill="F8FAFC" w:val="clear"/>
            <w:tcMar>
              <w:top w:type="dxa" w:w="80"/>
              <w:left w:type="dxa" w:w="100"/>
              <w:bottom w:type="dxa" w:w="80"/>
              <w:right w:type="dxa" w:w="100"/>
            </w:tcMar>
          </w:tcPr>
          <w:p>
            <w:r>
              <w:rPr>
                <w:b w:val="false"/>
                <w:bCs w:val="false"/>
              </w:rPr>
              <w:t xml:space="preserve">Disposals</w:t>
            </w:r>
          </w:p>
        </w:tc>
        <w:tc>
          <w:tcPr>
            <w:tcW w:type="dxa" w:w="5600"/>
            <w:shd w:fill="F8FAFC" w:val="clear"/>
            <w:tcMar>
              <w:top w:type="dxa" w:w="80"/>
              <w:left w:type="dxa" w:w="100"/>
              <w:bottom w:type="dxa" w:w="80"/>
              <w:right w:type="dxa" w:w="100"/>
            </w:tcMar>
          </w:tcPr>
          <w:p>
            <w:r>
              <w:rPr>
                <w:b w:val="false"/>
                <w:bCs w:val="false"/>
              </w:rPr>
              <w:t xml:space="preserve">/api/disposals</w:t>
            </w:r>
          </w:p>
        </w:tc>
      </w:tr>
      <w:tr>
        <w:tc>
          <w:tcPr>
            <w:tcW w:type="dxa" w:w="3400"/>
            <w:tcMar>
              <w:top w:type="dxa" w:w="80"/>
              <w:left w:type="dxa" w:w="100"/>
              <w:bottom w:type="dxa" w:w="80"/>
              <w:right w:type="dxa" w:w="100"/>
            </w:tcMar>
          </w:tcPr>
          <w:p>
            <w:r>
              <w:rPr>
                <w:b w:val="false"/>
                <w:bCs w:val="false"/>
              </w:rPr>
              <w:t xml:space="preserve">Audit Logs</w:t>
            </w:r>
          </w:p>
        </w:tc>
        <w:tc>
          <w:tcPr>
            <w:tcW w:type="dxa" w:w="5600"/>
            <w:tcMar>
              <w:top w:type="dxa" w:w="80"/>
              <w:left w:type="dxa" w:w="100"/>
              <w:bottom w:type="dxa" w:w="80"/>
              <w:right w:type="dxa" w:w="100"/>
            </w:tcMar>
          </w:tcPr>
          <w:p>
            <w:r>
              <w:rPr>
                <w:b w:val="false"/>
                <w:bCs w:val="false"/>
              </w:rPr>
              <w:t xml:space="preserve">/api/audit-logs</w:t>
            </w:r>
          </w:p>
        </w:tc>
      </w:tr>
      <w:tr>
        <w:tc>
          <w:tcPr>
            <w:tcW w:type="dxa" w:w="3400"/>
            <w:shd w:fill="F8FAFC" w:val="clear"/>
            <w:tcMar>
              <w:top w:type="dxa" w:w="80"/>
              <w:left w:type="dxa" w:w="100"/>
              <w:bottom w:type="dxa" w:w="80"/>
              <w:right w:type="dxa" w:w="100"/>
            </w:tcMar>
          </w:tcPr>
          <w:p>
            <w:r>
              <w:rPr>
                <w:b w:val="false"/>
                <w:bCs w:val="false"/>
              </w:rPr>
              <w:t xml:space="preserve">Auth</w:t>
            </w:r>
          </w:p>
        </w:tc>
        <w:tc>
          <w:tcPr>
            <w:tcW w:type="dxa" w:w="5600"/>
            <w:shd w:fill="F8FAFC" w:val="clear"/>
            <w:tcMar>
              <w:top w:type="dxa" w:w="80"/>
              <w:left w:type="dxa" w:w="100"/>
              <w:bottom w:type="dxa" w:w="80"/>
              <w:right w:type="dxa" w:w="100"/>
            </w:tcMar>
          </w:tcPr>
          <w:p>
            <w:r>
              <w:rPr>
                <w:b w:val="false"/>
                <w:bCs w:val="false"/>
              </w:rPr>
              <w:t xml:space="preserve">/api/auth/login</w:t>
            </w:r>
          </w:p>
        </w:tc>
      </w:tr>
    </w:tbl>
    <w:p>
      <w:pPr>
        <w:pStyle w:val="Heading2"/>
        <w:spacing w:after="120" w:before="280"/>
      </w:pPr>
      <w:r>
        <w:t xml:space="preserve">7.4 Authentication Contract</w:t>
      </w:r>
    </w:p>
    <w:p>
      <w:pPr>
        <w:spacing w:after="160"/>
      </w:pPr>
      <w:r>
        <w:t xml:space="preserve">apiClient.js expects POST /api/auth/login to accept { username, password } and return a JSON object containing at least a token and a user profile (id, name, username, role, email). The token is expected to be sent as an Authorization: Bearer &lt;token&gt; header on every subsequent request — apiClient.js already implements this once a token is stored under the sms_token localStorage key.</w:t>
      </w:r>
    </w:p>
    <w:p>
      <w:pPr>
        <w:pStyle w:val="Heading1"/>
        <w:spacing w:after="160" w:before="360"/>
      </w:pPr>
      <w:r>
        <w:t xml:space="preserve">8. Non-Functional Requirements (Frontend-Specific)</w:t>
      </w:r>
    </w:p>
    <w:p>
      <w:pPr>
        <w:pStyle w:val="Heading2"/>
        <w:spacing w:after="120" w:before="280"/>
      </w:pPr>
      <w:r>
        <w:t xml:space="preserve">8.1 Responsiveness</w:t>
      </w:r>
    </w:p>
    <w:p>
      <w:pPr>
        <w:pStyle w:val="ListParagraph"/>
        <w:numPr>
          <w:ilvl w:val="0"/>
          <w:numId w:val="1"/>
        </w:numPr>
        <w:spacing w:after="80"/>
      </w:pPr>
      <w:r>
        <w:t xml:space="preserve">Breakpoints follow Tailwind defaults (sm 640px, lg 1024px). The sidebar collapses to an off-canvas drawer below the lg breakpoint; tables scroll horizontally on narrow screens rather than truncating data.</w:t>
      </w:r>
    </w:p>
    <w:p>
      <w:pPr>
        <w:pStyle w:val="ListParagraph"/>
        <w:numPr>
          <w:ilvl w:val="0"/>
          <w:numId w:val="1"/>
        </w:numPr>
        <w:spacing w:after="80"/>
      </w:pPr>
      <w:r>
        <w:t xml:space="preserve">Target devices: desktop/laptop (primary, for storekeepers and PAO at a workstation), tablet and phone (secondary, for department heads submitting requisitions on the move).</w:t>
      </w:r>
    </w:p>
    <w:p>
      <w:pPr>
        <w:pStyle w:val="Heading2"/>
        <w:spacing w:after="120" w:before="280"/>
      </w:pPr>
      <w:r>
        <w:t xml:space="preserve">8.2 Performance</w:t>
      </w:r>
    </w:p>
    <w:p>
      <w:pPr>
        <w:pStyle w:val="ListParagraph"/>
        <w:numPr>
          <w:ilvl w:val="0"/>
          <w:numId w:val="1"/>
        </w:numPr>
        <w:spacing w:after="80"/>
      </w:pPr>
      <w:r>
        <w:t xml:space="preserve">Client-side pagination (8 rows/page by default) keeps large tables (e.g. hundreds of items) responsive without a virtualization library.</w:t>
      </w:r>
    </w:p>
    <w:p>
      <w:pPr>
        <w:pStyle w:val="ListParagraph"/>
        <w:numPr>
          <w:ilvl w:val="0"/>
          <w:numId w:val="1"/>
        </w:numPr>
        <w:spacing w:after="80"/>
      </w:pPr>
      <w:r>
        <w:t xml:space="preserve">Vite’s dev server and production build both provide fast rebuilds and code-split, tree-shaken output, satisfying SRS 3.2 “respond within three seconds” for realistic data volumes.</w:t>
      </w:r>
    </w:p>
    <w:p>
      <w:pPr>
        <w:pStyle w:val="Heading2"/>
        <w:spacing w:after="120" w:before="280"/>
      </w:pPr>
      <w:r>
        <w:t xml:space="preserve">8.3 Usability</w:t>
      </w:r>
    </w:p>
    <w:p>
      <w:pPr>
        <w:pStyle w:val="ListParagraph"/>
        <w:numPr>
          <w:ilvl w:val="0"/>
          <w:numId w:val="1"/>
        </w:numPr>
        <w:spacing w:after="80"/>
      </w:pPr>
      <w:r>
        <w:t xml:space="preserve">Every module follows the same interaction pattern (search, table, modal form, confirm-delete), directly addressing SRS 3.2 “simple and user-friendly... easy navigation” and the operational-feasibility goal (SRS 1.5.3) of minimal training for storekeepers, clerks, and department heads.</w:t>
      </w:r>
    </w:p>
    <w:p>
      <w:pPr>
        <w:pStyle w:val="ListParagraph"/>
        <w:numPr>
          <w:ilvl w:val="0"/>
          <w:numId w:val="1"/>
        </w:numPr>
        <w:spacing w:after="80"/>
      </w:pPr>
      <w:r>
        <w:t xml:space="preserve">Status is always communicated with both color and text (StatusBadge), not color alone, for baseline accessibility.</w:t>
      </w:r>
    </w:p>
    <w:p>
      <w:pPr>
        <w:pStyle w:val="Heading2"/>
        <w:spacing w:after="120" w:before="280"/>
      </w:pPr>
      <w:r>
        <w:t xml:space="preserve">8.4 Security (Frontend Responsibilities)</w:t>
      </w:r>
    </w:p>
    <w:p>
      <w:pPr>
        <w:pStyle w:val="ListParagraph"/>
        <w:numPr>
          <w:ilvl w:val="0"/>
          <w:numId w:val="1"/>
        </w:numPr>
        <w:spacing w:after="80"/>
      </w:pPr>
      <w:r>
        <w:t xml:space="preserve">The frontend never stores passwords; only a session token/user profile is persisted client-side.</w:t>
      </w:r>
    </w:p>
    <w:p>
      <w:pPr>
        <w:pStyle w:val="ListParagraph"/>
        <w:numPr>
          <w:ilvl w:val="0"/>
          <w:numId w:val="1"/>
        </w:numPr>
        <w:spacing w:after="80"/>
      </w:pPr>
      <w:r>
        <w:t xml:space="preserve">Protected routes redirect unauthenticated users to /login; role-based UI hiding is scaffolded and should be completed once the backend’s permission matrix is final (see Section 9).</w:t>
      </w:r>
    </w:p>
    <w:p>
      <w:pPr>
        <w:pStyle w:val="ListParagraph"/>
        <w:numPr>
          <w:ilvl w:val="0"/>
          <w:numId w:val="1"/>
        </w:numPr>
        <w:spacing w:after="80"/>
      </w:pPr>
      <w:r>
        <w:t xml:space="preserve">All user-entered text is rendered through React’s default escaping (no dangerouslySetInnerHTML anywhere in the codebase), mitigating basic XSS.</w:t>
      </w:r>
    </w:p>
    <w:p>
      <w:pPr>
        <w:pStyle w:val="Heading2"/>
        <w:spacing w:after="120" w:before="280"/>
      </w:pPr>
      <w:r>
        <w:t xml:space="preserve">8.5 Maintainability</w:t>
      </w:r>
    </w:p>
    <w:p>
      <w:pPr>
        <w:pStyle w:val="ListParagraph"/>
        <w:numPr>
          <w:ilvl w:val="0"/>
          <w:numId w:val="1"/>
        </w:numPr>
        <w:spacing w:after="80"/>
      </w:pPr>
      <w:r>
        <w:t xml:space="preserve">Config-driven navigation and CRUD pages (Section 6) mean adding a 20th module is a small, predictable change, not a copy-paste of a whole page.</w:t>
      </w:r>
    </w:p>
    <w:p>
      <w:pPr>
        <w:pStyle w:val="ListParagraph"/>
        <w:numPr>
          <w:ilvl w:val="0"/>
          <w:numId w:val="1"/>
        </w:numPr>
        <w:spacing w:after="80"/>
      </w:pPr>
      <w:r>
        <w:t xml:space="preserve">Centralized constants (roles, status vocabulary, units) avoid magic strings scattered across 19 modules.</w:t>
      </w:r>
    </w:p>
    <w:p>
      <w:pPr>
        <w:pStyle w:val="Heading2"/>
        <w:spacing w:after="120" w:before="280"/>
      </w:pPr>
      <w:r>
        <w:t xml:space="preserve">8.6 Scalability</w:t>
      </w:r>
    </w:p>
    <w:p>
      <w:pPr>
        <w:pStyle w:val="ListParagraph"/>
        <w:numPr>
          <w:ilvl w:val="0"/>
          <w:numId w:val="1"/>
        </w:numPr>
        <w:spacing w:after="80"/>
      </w:pPr>
      <w:r>
        <w:t xml:space="preserve">The service-layer abstraction (Section 7.2) means the mock data layer can be swapped for the real API without a frontend rewrite, and additional modules can be added without architectural change.</w:t>
      </w:r>
    </w:p>
    <w:p>
      <w:pPr>
        <w:pStyle w:val="Heading1"/>
        <w:spacing w:after="160" w:before="360"/>
      </w:pPr>
      <w:r>
        <w:t xml:space="preserve">9. Assumptions and Open Questions for the Backend Team</w:t>
      </w:r>
    </w:p>
    <w:p>
      <w:pPr>
        <w:spacing w:after="160"/>
      </w:pPr>
      <w:r>
        <w:t xml:space="preserve">These items were assumed by the frontend team to keep building without blocking on the backend. Please confirm or correct each one so both sides converge:</w:t>
      </w:r>
    </w:p>
    <w:p>
      <w:pPr>
        <w:pStyle w:val="ListParagraph"/>
        <w:numPr>
          <w:ilvl w:val="0"/>
          <w:numId w:val="3"/>
        </w:numPr>
        <w:spacing w:after="80"/>
      </w:pPr>
      <w:r>
        <w:t xml:space="preserve">Role enum: the frontend assumes the 9 roles listed in Section 3. Please confirm the exact set and spelling the backend’s auth/user table will use.</w:t>
      </w:r>
    </w:p>
    <w:p>
      <w:pPr>
        <w:pStyle w:val="ListParagraph"/>
        <w:numPr>
          <w:ilvl w:val="0"/>
          <w:numId w:val="3"/>
        </w:numPr>
        <w:spacing w:after="80"/>
      </w:pPr>
      <w:r>
        <w:t xml:space="preserve">Bin card adjustments: the manual (§6.2.2) implies bin cards can be corrected during stock taking. Confirm whether a manual "adjust bin card" endpoint is needed, or whether all bin card changes should always flow through a transaction (receipt/issue/transfer).</w:t>
      </w:r>
    </w:p>
    <w:p>
      <w:pPr>
        <w:pStyle w:val="ListParagraph"/>
        <w:numPr>
          <w:ilvl w:val="0"/>
          <w:numId w:val="3"/>
        </w:numPr>
        <w:spacing w:after="80"/>
      </w:pPr>
      <w:r>
        <w:t xml:space="preserve">SIV amendment (UC14): confirm whether an issued voucher can be amended after issue, or whether corrections are always handled via a new Material Return + new Issue Voucher (the frontend currently assumes the latter).</w:t>
      </w:r>
    </w:p>
    <w:p>
      <w:pPr>
        <w:pStyle w:val="ListParagraph"/>
        <w:numPr>
          <w:ilvl w:val="0"/>
          <w:numId w:val="3"/>
        </w:numPr>
        <w:spacing w:after="80"/>
      </w:pPr>
      <w:r>
        <w:t xml:space="preserve">Material Return evaluation (UC19): confirm whether returned materials need the same formal Technical Evaluation workflow as new goods receipts, or a lighter approve/reject by the store head is sufficient (the frontend currently implements the lighter version and can be upgraded to match Goods Receipt’s two-step flow).</w:t>
      </w:r>
    </w:p>
    <w:p>
      <w:pPr>
        <w:pStyle w:val="ListParagraph"/>
        <w:numPr>
          <w:ilvl w:val="0"/>
          <w:numId w:val="3"/>
        </w:numPr>
        <w:spacing w:after="80"/>
      </w:pPr>
      <w:r>
        <w:t xml:space="preserve">Shelf-life auto-monitoring (UC23): this needs a backend scheduled job or a computed "days until expiry" field on the item/bin resource; the frontend can only display a filtered view of whatever the backend exposes.</w:t>
      </w:r>
    </w:p>
    <w:p>
      <w:pPr>
        <w:pStyle w:val="ListParagraph"/>
        <w:numPr>
          <w:ilvl w:val="0"/>
          <w:numId w:val="3"/>
        </w:numPr>
        <w:spacing w:after="80"/>
      </w:pPr>
      <w:r>
        <w:t xml:space="preserve">Numbering scheme for GRN / SR / SIV / SRN / Transfer / Disposal references: the frontend currently generates a placeholder sequential reference client-side (e.g. GRN-2026-0004). This must move server-side once the backend exists, to guarantee uniqueness across concurrent users.</w:t>
      </w:r>
    </w:p>
    <w:p>
      <w:pPr>
        <w:pStyle w:val="ListParagraph"/>
        <w:numPr>
          <w:ilvl w:val="0"/>
          <w:numId w:val="3"/>
        </w:numPr>
        <w:spacing w:after="80"/>
      </w:pPr>
      <w:r>
        <w:t xml:space="preserve">Item code structure: the MoFED manual defines a strict 10-digit, 3-level code (Section 2.3 of the manual: 4 digits major class + 3 digits sub-class + 3 digits item). Confirm whether the backend will enforce/generate this format or accept free text as the frontend currently does.</w:t>
      </w:r>
    </w:p>
    <w:p>
      <w:pPr>
        <w:pStyle w:val="ListParagraph"/>
        <w:numPr>
          <w:ilvl w:val="0"/>
          <w:numId w:val="3"/>
        </w:numPr>
        <w:spacing w:after="80"/>
      </w:pPr>
      <w:r>
        <w:t xml:space="preserve">Security Officer role: currently has no dedicated screen in v1 (gate pass verification is out of scope per the reduced use-case list). Confirm if a "Gate Pass" screen should be added in a later version.</w:t>
      </w:r>
    </w:p>
    <w:p>
      <w:pPr>
        <w:pStyle w:val="Heading1"/>
        <w:spacing w:after="160" w:before="360"/>
      </w:pPr>
      <w:r>
        <w:t xml:space="preserve">10. Repository Structure</w:t>
      </w:r>
    </w:p>
    <w:p>
      <w:pPr>
        <w:spacing w:after="160"/>
      </w:pPr>
      <w:r>
        <w:t xml:space="preserve">The delivered project (sms-frontend.zip) follows this layout:</w:t>
      </w:r>
    </w:p>
    <w:p>
      <w:pPr>
        <w:spacing w:after="20"/>
      </w:pPr>
      <w:r>
        <w:rPr>
          <w:rFonts w:ascii="Consolas" w:cs="Consolas" w:eastAsia="Consolas" w:hAnsi="Consolas"/>
          <w:sz w:val="18"/>
          <w:szCs w:val="18"/>
        </w:rPr>
        <w:t xml:space="preserve">sms-frontend/</w:t>
      </w:r>
    </w:p>
    <w:p>
      <w:pPr>
        <w:spacing w:after="20"/>
      </w:pPr>
      <w:r>
        <w:rPr>
          <w:rFonts w:ascii="Consolas" w:cs="Consolas" w:eastAsia="Consolas" w:hAnsi="Consolas"/>
          <w:sz w:val="18"/>
          <w:szCs w:val="18"/>
        </w:rPr>
        <w:t xml:space="preserve">  package.json, vite.config.js, tailwind.config.js</w:t>
      </w:r>
    </w:p>
    <w:p>
      <w:pPr>
        <w:spacing w:after="20"/>
      </w:pPr>
      <w:r>
        <w:rPr>
          <w:rFonts w:ascii="Consolas" w:cs="Consolas" w:eastAsia="Consolas" w:hAnsi="Consolas"/>
          <w:sz w:val="18"/>
          <w:szCs w:val="18"/>
        </w:rPr>
        <w:t xml:space="preserve">  index.html</w:t>
      </w:r>
    </w:p>
    <w:p>
      <w:pPr>
        <w:spacing w:after="20"/>
      </w:pPr>
      <w:r>
        <w:rPr>
          <w:rFonts w:ascii="Consolas" w:cs="Consolas" w:eastAsia="Consolas" w:hAnsi="Consolas"/>
          <w:sz w:val="18"/>
          <w:szCs w:val="18"/>
        </w:rPr>
        <w:t xml:space="preserve">  src/</w:t>
      </w:r>
    </w:p>
    <w:p>
      <w:pPr>
        <w:spacing w:after="20"/>
      </w:pPr>
      <w:r>
        <w:rPr>
          <w:rFonts w:ascii="Consolas" w:cs="Consolas" w:eastAsia="Consolas" w:hAnsi="Consolas"/>
          <w:sz w:val="18"/>
          <w:szCs w:val="18"/>
        </w:rPr>
        <w:t xml:space="preserve">    main.jsx, App.jsx, index.css</w:t>
      </w:r>
    </w:p>
    <w:p>
      <w:pPr>
        <w:spacing w:after="20"/>
      </w:pPr>
      <w:r>
        <w:rPr>
          <w:rFonts w:ascii="Consolas" w:cs="Consolas" w:eastAsia="Consolas" w:hAnsi="Consolas"/>
          <w:sz w:val="18"/>
          <w:szCs w:val="18"/>
        </w:rPr>
        <w:t xml:space="preserve">    components/ui/        reusable UI kit</w:t>
      </w:r>
    </w:p>
    <w:p>
      <w:pPr>
        <w:spacing w:after="20"/>
      </w:pPr>
      <w:r>
        <w:rPr>
          <w:rFonts w:ascii="Consolas" w:cs="Consolas" w:eastAsia="Consolas" w:hAnsi="Consolas"/>
          <w:sz w:val="18"/>
          <w:szCs w:val="18"/>
        </w:rPr>
        <w:t xml:space="preserve">    components/layout/    Sidebar, Topbar, DashboardLayout, navConfig</w:t>
      </w:r>
    </w:p>
    <w:p>
      <w:pPr>
        <w:spacing w:after="20"/>
      </w:pPr>
      <w:r>
        <w:rPr>
          <w:rFonts w:ascii="Consolas" w:cs="Consolas" w:eastAsia="Consolas" w:hAnsi="Consolas"/>
          <w:sz w:val="18"/>
          <w:szCs w:val="18"/>
        </w:rPr>
        <w:t xml:space="preserve">    components/crud/      generic CrudPage</w:t>
      </w:r>
    </w:p>
    <w:p>
      <w:pPr>
        <w:spacing w:after="20"/>
      </w:pPr>
      <w:r>
        <w:rPr>
          <w:rFonts w:ascii="Consolas" w:cs="Consolas" w:eastAsia="Consolas" w:hAnsi="Consolas"/>
          <w:sz w:val="18"/>
          <w:szCs w:val="18"/>
        </w:rPr>
        <w:t xml:space="preserve">    context/              AuthContext, ToastContext</w:t>
      </w:r>
    </w:p>
    <w:p>
      <w:pPr>
        <w:spacing w:after="20"/>
      </w:pPr>
      <w:r>
        <w:rPr>
          <w:rFonts w:ascii="Consolas" w:cs="Consolas" w:eastAsia="Consolas" w:hAnsi="Consolas"/>
          <w:sz w:val="18"/>
          <w:szCs w:val="18"/>
        </w:rPr>
        <w:t xml:space="preserve">    pages/&lt;module&gt;/       one folder per module</w:t>
      </w:r>
    </w:p>
    <w:p>
      <w:pPr>
        <w:spacing w:after="20"/>
      </w:pPr>
      <w:r>
        <w:rPr>
          <w:rFonts w:ascii="Consolas" w:cs="Consolas" w:eastAsia="Consolas" w:hAnsi="Consolas"/>
          <w:sz w:val="18"/>
          <w:szCs w:val="18"/>
        </w:rPr>
        <w:t xml:space="preserve">    router/               ProtectedRoute</w:t>
      </w:r>
    </w:p>
    <w:p>
      <w:pPr>
        <w:spacing w:after="20"/>
      </w:pPr>
      <w:r>
        <w:rPr>
          <w:rFonts w:ascii="Consolas" w:cs="Consolas" w:eastAsia="Consolas" w:hAnsi="Consolas"/>
          <w:sz w:val="18"/>
          <w:szCs w:val="18"/>
        </w:rPr>
        <w:t xml:space="preserve">    services/             entityService, localDb, seed, apiClient, index</w:t>
      </w:r>
    </w:p>
    <w:p>
      <w:pPr>
        <w:spacing w:after="20"/>
      </w:pPr>
      <w:r>
        <w:rPr>
          <w:rFonts w:ascii="Consolas" w:cs="Consolas" w:eastAsia="Consolas" w:hAnsi="Consolas"/>
          <w:sz w:val="18"/>
          <w:szCs w:val="18"/>
        </w:rPr>
        <w:t xml:space="preserve">    utils/                constants, formatters</w:t>
      </w:r>
    </w:p>
    <w:p>
      <w:pPr>
        <w:spacing w:after="20"/>
      </w:pPr>
      <w:r>
        <w:rPr>
          <w:rFonts w:ascii="Consolas" w:cs="Consolas" w:eastAsia="Consolas" w:hAnsi="Consolas"/>
          <w:sz w:val="18"/>
          <w:szCs w:val="18"/>
        </w:rPr>
        <w:t xml:space="preserve">  README.md               setup + backend integration instructions</w:t>
      </w:r>
    </w:p>
    <w:p>
      <w:pPr>
        <w:spacing w:after="180"/>
      </w:pPr>
    </w:p>
    <w:p>
      <w:pPr>
        <w:spacing w:after="160"/>
      </w:pPr>
      <w:r>
        <w:t xml:space="preserve">Full setup commands, the demo login list, and the module-to-route mapping table are in README.md at the project root, delivered alongside this document.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16"/>
        <w:szCs w:val="16"/>
      </w:rPr>
      <w:t xml:space="preserve">Page </w:t>
    </w:r>
    <w:r>
      <w:rPr>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4A3B8"/>
        <w:sz w:val="16"/>
        <w:szCs w:val="16"/>
      </w:rPr>
      <w:t xml:space="preserve">Stock Management System — Frontend SRS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abstractNum w:abstractNumId="3"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pPr>
    <w:rPr>
      <w:rFonts w:ascii="Calibri" w:cs="Calibri" w:eastAsia="Calibri" w:hAnsi="Calibri"/>
      <w:b/>
      <w:bCs/>
      <w:color w:val="1D4ED8"/>
      <w:sz w:val="32"/>
      <w:szCs w:val="32"/>
    </w:rPr>
  </w:style>
  <w:style w:type="paragraph" w:styleId="Heading2">
    <w:name w:val="Heading 2"/>
    <w:basedOn w:val="Normal"/>
    <w:next w:val="Normal"/>
    <w:qFormat/>
    <w:pPr>
      <w:spacing w:after="120" w:before="280"/>
    </w:pPr>
    <w:rPr>
      <w:rFonts w:ascii="Calibri" w:cs="Calibri" w:eastAsia="Calibri" w:hAnsi="Calibri"/>
      <w:b/>
      <w:bCs/>
      <w:color w:val="1E293B"/>
      <w:sz w:val="26"/>
      <w:szCs w:val="26"/>
    </w:rPr>
  </w:style>
  <w:style w:type="paragraph" w:styleId="Heading3">
    <w:name w:val="Heading 3"/>
    <w:basedOn w:val="Normal"/>
    <w:next w:val="Normal"/>
    <w:qFormat/>
    <w:pPr>
      <w:spacing w:after="100" w:before="200"/>
    </w:pPr>
    <w:rPr>
      <w:rFonts w:ascii="Calibri" w:cs="Calibri" w:eastAsia="Calibri" w:hAnsi="Calibri"/>
      <w:b/>
      <w:bCs/>
      <w:color w:val="33415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2026-08-15T06:12:31.290Z</dcterms:created>
  <dcterms:modified xsi:type="dcterms:W3CDTF">2026-08-15T06:12:31.291Z</dcterms:modified>
</cp:coreProperties>
</file>

<file path=docProps/custom.xml><?xml version="1.0" encoding="utf-8"?>
<Properties xmlns="http://schemas.openxmlformats.org/officeDocument/2006/custom-properties" xmlns:vt="http://schemas.openxmlformats.org/officeDocument/2006/docPropsVTypes"/>
</file>