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0" w:lineRule="auto"/>
        <w:ind w:firstLine="0"/>
        <w:jc w:val="left"/>
        <w:rPr>
          <w:sz w:val="12"/>
          <w:szCs w:val="12"/>
        </w:rPr>
      </w:pPr>
      <w:r w:rsidDel="00000000" w:rsidR="00000000" w:rsidRPr="00000000">
        <w:rPr>
          <w:rtl w:val="0"/>
        </w:rPr>
      </w:r>
    </w:p>
    <w:tbl>
      <w:tblPr>
        <w:tblStyle w:val="Table1"/>
        <w:tblW w:w="79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blHeader w:val="0"/>
        </w:trPr>
        <w:tc>
          <w:tcPr>
            <w:tcBorders>
              <w:top w:color="000000" w:space="0" w:sz="24" w:val="single"/>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jc w:val="left"/>
              <w:rPr>
                <w:sz w:val="20"/>
                <w:szCs w:val="20"/>
              </w:rPr>
            </w:pPr>
            <w:r w:rsidDel="00000000" w:rsidR="00000000" w:rsidRPr="00000000">
              <w:rPr>
                <w:rtl w:val="0"/>
              </w:rPr>
            </w:r>
          </w:p>
          <w:p w:rsidR="00000000" w:rsidDel="00000000" w:rsidP="00000000" w:rsidRDefault="00000000" w:rsidRPr="00000000" w14:paraId="00000003">
            <w:pPr>
              <w:pStyle w:val="Subtitle"/>
              <w:spacing w:before="0" w:lineRule="auto"/>
              <w:rPr>
                <w:b w:val="1"/>
                <w:bCs w:val="1"/>
                <w:sz w:val="40"/>
                <w:szCs w:val="40"/>
              </w:rPr>
            </w:pPr>
            <w:bookmarkStart w:colFirst="0" w:colLast="0" w:name="_fa1xl3f8lw4h" w:id="0"/>
            <w:bookmarkEnd w:id="0"/>
            <w:r w:rsidDel="00000000" w:rsidR="00000000" w:rsidRPr="00000000">
              <w:rPr>
                <w:b w:val="1"/>
                <w:bCs w:val="1"/>
                <w:sz w:val="40"/>
                <w:szCs w:val="40"/>
                <w:rtl w:val="0"/>
              </w:rPr>
              <w:t xml:space="preserve">Hallucination Heatmap: Cognitive Cartography for AI Knowledge Boundaries</w:t>
            </w:r>
            <w:r w:rsidDel="00000000" w:rsidR="00000000" w:rsidRPr="00000000">
              <w:rPr>
                <w:b w:val="1"/>
                <w:bCs w:val="1"/>
                <w:sz w:val="40"/>
                <w:szCs w:val="40"/>
                <w:vertAlign w:val="superscript"/>
              </w:rPr>
              <w:footnoteReference w:customMarkFollows="0" w:id="0"/>
            </w:r>
            <w:r w:rsidDel="00000000" w:rsidR="00000000" w:rsidRPr="00000000">
              <w:rPr>
                <w:rtl w:val="0"/>
              </w:rPr>
            </w:r>
          </w:p>
          <w:p w:rsidR="00000000" w:rsidDel="00000000" w:rsidP="00000000" w:rsidRDefault="00000000" w:rsidRPr="00000000" w14:paraId="00000004">
            <w:pPr>
              <w:spacing w:line="240" w:lineRule="auto"/>
              <w:rPr>
                <w:sz w:val="20"/>
                <w:szCs w:val="20"/>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5">
            <w:pPr>
              <w:spacing w:before="0" w:line="240" w:lineRule="auto"/>
              <w:ind w:firstLine="0"/>
              <w:jc w:val="left"/>
              <w:rPr>
                <w:sz w:val="2"/>
                <w:szCs w:val="2"/>
              </w:rPr>
            </w:pPr>
            <w:r w:rsidDel="00000000" w:rsidR="00000000" w:rsidRPr="00000000">
              <w:rPr>
                <w:rtl w:val="0"/>
              </w:rPr>
            </w:r>
          </w:p>
          <w:tbl>
            <w:tblPr>
              <w:tblStyle w:val="Table2"/>
              <w:tblW w:w="71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3120"/>
              <w:gridCol w:w="1995"/>
              <w:tblGridChange w:id="0">
                <w:tblGrid>
                  <w:gridCol w:w="2070"/>
                  <w:gridCol w:w="3120"/>
                  <w:gridCol w:w="1995"/>
                </w:tblGrid>
              </w:tblGridChange>
            </w:tblGrid>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6">
                  <w:pPr>
                    <w:jc w:val="left"/>
                    <w:rPr>
                      <w:sz w:val="2"/>
                      <w:szCs w:val="2"/>
                    </w:rPr>
                  </w:pPr>
                  <w:r w:rsidDel="00000000" w:rsidR="00000000" w:rsidRPr="00000000">
                    <w:rPr>
                      <w:rtl w:val="0"/>
                    </w:rPr>
                  </w:r>
                </w:p>
                <w:tbl>
                  <w:tblPr>
                    <w:tblStyle w:val="Table3"/>
                    <w:tblW w:w="20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690"/>
                    <w:gridCol w:w="690"/>
                    <w:tblGridChange w:id="0">
                      <w:tblGrid>
                        <w:gridCol w:w="690"/>
                        <w:gridCol w:w="690"/>
                        <w:gridCol w:w="6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7">
                        <w:pPr>
                          <w:jc w:val="center"/>
                          <w:rPr/>
                        </w:pPr>
                        <w:r w:rsidDel="00000000" w:rsidR="00000000" w:rsidRPr="00000000">
                          <w:rPr>
                            <w:rtl w:val="0"/>
                          </w:rPr>
                          <w:t xml:space="preserve">Batıkan Bora Ormancı </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8">
                        <w:pPr>
                          <w:jc w:val="center"/>
                          <w:rPr/>
                        </w:pPr>
                        <w:r w:rsidDel="00000000" w:rsidR="00000000" w:rsidRPr="00000000">
                          <w:rPr>
                            <w:rtl w:val="0"/>
                          </w:rPr>
                          <w:t xml:space="preserve">Madina Makhmudkhodjaeva</w:t>
                          <w:br w:type="textWrapping"/>
                          <w:t xml:space="preserve">Technical University of Berlin</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9">
                        <w:pPr>
                          <w:jc w:val="cente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A">
                        <w:pPr>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B">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C">
                        <w:pPr>
                          <w:jc w:val="center"/>
                          <w:rPr/>
                        </w:pPr>
                        <w:r w:rsidDel="00000000" w:rsidR="00000000" w:rsidRPr="00000000">
                          <w:rPr>
                            <w:rtl w:val="0"/>
                          </w:rPr>
                        </w:r>
                      </w:p>
                    </w:tc>
                  </w:tr>
                </w:tbl>
                <w:p w:rsidR="00000000" w:rsidDel="00000000" w:rsidP="00000000" w:rsidRDefault="00000000" w:rsidRPr="00000000" w14:paraId="0000000D">
                  <w:pPr>
                    <w:jc w:val="center"/>
                    <w:rPr>
                      <w:i w:val="1"/>
                      <w:iCs w:val="1"/>
                    </w:rPr>
                  </w:pPr>
                  <w:r w:rsidDel="00000000" w:rsidR="00000000" w:rsidRPr="00000000">
                    <w:rPr>
                      <w:b w:val="1"/>
                      <w:bCs w:val="1"/>
                      <w:rtl w:val="0"/>
                    </w:rPr>
                    <w:t xml:space="preserve">With</w:t>
                    <w:br w:type="textWrapping"/>
                  </w:r>
                  <w:r w:rsidDel="00000000" w:rsidR="00000000" w:rsidRPr="00000000">
                    <w:rPr>
                      <w:rtl w:val="0"/>
                    </w:rPr>
                    <w:t xml:space="preserve">Apart Research</w:t>
                  </w:r>
                  <w:r w:rsidDel="00000000" w:rsidR="00000000" w:rsidRPr="00000000">
                    <w:rPr>
                      <w:rtl w:val="0"/>
                    </w:rPr>
                  </w:r>
                </w:p>
              </w:tc>
            </w:tr>
          </w:tbl>
          <w:p w:rsidR="00000000" w:rsidDel="00000000" w:rsidP="00000000" w:rsidRDefault="00000000" w:rsidRPr="00000000" w14:paraId="00000010">
            <w:pPr>
              <w:spacing w:before="240" w:lineRule="auto"/>
              <w:ind w:firstLine="0"/>
              <w:jc w:val="center"/>
              <w:rPr>
                <w:b w:val="1"/>
                <w:bCs w:val="1"/>
                <w:sz w:val="28"/>
                <w:szCs w:val="28"/>
              </w:rPr>
            </w:pPr>
            <w:r w:rsidDel="00000000" w:rsidR="00000000" w:rsidRPr="00000000">
              <w:rPr>
                <w:b w:val="1"/>
                <w:bCs w:val="1"/>
                <w:sz w:val="28"/>
                <w:szCs w:val="28"/>
                <w:rtl w:val="0"/>
              </w:rPr>
              <w:t xml:space="preserve">Abstract</w:t>
            </w:r>
          </w:p>
          <w:tbl>
            <w:tblPr>
              <w:tblStyle w:val="Table4"/>
              <w:tblW w:w="6570.0" w:type="dxa"/>
              <w:jc w:val="left"/>
              <w:tblInd w:w="6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tblGridChange w:id="0">
                <w:tblGrid>
                  <w:gridCol w:w="65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Large Language Models hallucinate confidently because they prioritize plausibility over truth—a manifestation of what Daniel Kahneman describes as "System 1 thinking." We present </w:t>
                  </w:r>
                  <w:r w:rsidDel="00000000" w:rsidR="00000000" w:rsidRPr="00000000">
                    <w:rPr>
                      <w:b w:val="1"/>
                      <w:bCs w:val="1"/>
                      <w:rtl w:val="0"/>
                    </w:rPr>
                    <w:t xml:space="preserve">Hallucination Heatmap</w:t>
                  </w:r>
                  <w:r w:rsidDel="00000000" w:rsidR="00000000" w:rsidRPr="00000000">
                    <w:rPr>
                      <w:rtl w:val="0"/>
                    </w:rPr>
                    <w:t xml:space="preserve">, an interactive visualization tool that maps AI knowledge boundaries across geographic domains, combined with a novel </w:t>
                  </w:r>
                  <w:r w:rsidDel="00000000" w:rsidR="00000000" w:rsidRPr="00000000">
                    <w:rPr>
                      <w:b w:val="1"/>
                      <w:bCs w:val="1"/>
                      <w:rtl w:val="0"/>
                    </w:rPr>
                    <w:t xml:space="preserve">Self-Verification Protocol</w:t>
                  </w:r>
                  <w:r w:rsidDel="00000000" w:rsidR="00000000" w:rsidRPr="00000000">
                    <w:rPr>
                      <w:rtl w:val="0"/>
                    </w:rPr>
                    <w:t xml:space="preserve"> that operationalizes dual-process theory for hallucination detection.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Our Self-Verification Protocol asks AI to: (1) retrieve statistics from memory (System 1), (2) verify its own claims using research tools (System 2), and (3) report both values with discrepancy metrics. The gap between what AI "thinks" and what it verifies IS the hallucination signal—no external ground truth required for initial detection.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We implement three complementary methodologies: </w:t>
                  </w:r>
                  <w:r w:rsidDel="00000000" w:rsidR="00000000" w:rsidRPr="00000000">
                    <w:rPr>
                      <w:b w:val="1"/>
                      <w:bCs w:val="1"/>
                      <w:rtl w:val="0"/>
                    </w:rPr>
                    <w:t xml:space="preserve">Self-Verification Protocol</w:t>
                  </w:r>
                  <w:r w:rsidDel="00000000" w:rsidR="00000000" w:rsidRPr="00000000">
                    <w:rPr>
                      <w:rtl w:val="0"/>
                    </w:rPr>
                    <w:t xml:space="preserve"> (primary), </w:t>
                  </w:r>
                  <w:r w:rsidDel="00000000" w:rsidR="00000000" w:rsidRPr="00000000">
                    <w:rPr>
                      <w:b w:val="1"/>
                      <w:bCs w:val="1"/>
                      <w:rtl w:val="0"/>
                    </w:rPr>
                    <w:t xml:space="preserve">Mean Percentage Error</w:t>
                  </w:r>
                  <w:r w:rsidDel="00000000" w:rsidR="00000000" w:rsidRPr="00000000">
                    <w:rPr>
                      <w:rtl w:val="0"/>
                    </w:rPr>
                    <w:t xml:space="preserve"> for quantitative validation, and </w:t>
                  </w:r>
                  <w:r w:rsidDel="00000000" w:rsidR="00000000" w:rsidRPr="00000000">
                    <w:rPr>
                      <w:b w:val="1"/>
                      <w:bCs w:val="1"/>
                      <w:rtl w:val="0"/>
                    </w:rPr>
                    <w:t xml:space="preserve">Cross-Model Consensus</w:t>
                  </w:r>
                  <w:r w:rsidDel="00000000" w:rsidR="00000000" w:rsidRPr="00000000">
                    <w:rPr>
                      <w:rtl w:val="0"/>
                    </w:rPr>
                    <w:t xml:space="preserve">. Our dual-globe visualization displays context alongside risk, revealing systematic patterns: models hallucinate predictably on smaller economies, recent events, and politically sensitive regions.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Future work aims to create a scalable platform enabling researchers to evaluate 100+ statistics across any LLM, generating aggregate accuracy benchmarks that track factual reliability over time.</w:t>
                  </w:r>
                  <w:r w:rsidDel="00000000" w:rsidR="00000000" w:rsidRPr="00000000">
                    <w:rPr>
                      <w:rtl w:val="0"/>
                    </w:rPr>
                  </w:r>
                </w:p>
                <w:p w:rsidR="00000000" w:rsidDel="00000000" w:rsidP="00000000" w:rsidRDefault="00000000" w:rsidRPr="00000000" w14:paraId="00000018">
                  <w:pPr>
                    <w:spacing w:after="200" w:lineRule="auto"/>
                    <w:rPr>
                      <w:i w:val="1"/>
                      <w:iCs w:val="1"/>
                    </w:rPr>
                  </w:pPr>
                  <w:r w:rsidDel="00000000" w:rsidR="00000000" w:rsidRPr="00000000">
                    <w:rPr>
                      <w:i w:val="1"/>
                      <w:iCs w:val="1"/>
                      <w:rtl w:val="0"/>
                    </w:rPr>
                    <w:t xml:space="preserve">Keywords: AI hallucination detection, self-verification, dual-process theory, cross-model consensus, geographic knowledge mapping, manipulation benchmarks</w:t>
                  </w:r>
                  <w:r w:rsidDel="00000000" w:rsidR="00000000" w:rsidRPr="00000000">
                    <w:rPr>
                      <w:rtl w:val="0"/>
                    </w:rPr>
                  </w:r>
                </w:p>
              </w:tc>
            </w:tr>
          </w:tbl>
          <w:p w:rsidR="00000000" w:rsidDel="00000000" w:rsidP="00000000" w:rsidRDefault="00000000" w:rsidRPr="00000000" w14:paraId="00000019">
            <w:pPr>
              <w:spacing w:before="0" w:lineRule="auto"/>
              <w:ind w:firstLine="0"/>
              <w:jc w:val="left"/>
              <w:rPr>
                <w:b w:val="1"/>
                <w:bCs w:val="1"/>
                <w:sz w:val="12"/>
                <w:szCs w:val="12"/>
              </w:rPr>
            </w:pPr>
            <w:r w:rsidDel="00000000" w:rsidR="00000000" w:rsidRPr="00000000">
              <w:rPr>
                <w:rtl w:val="0"/>
              </w:rPr>
            </w:r>
          </w:p>
        </w:tc>
      </w:tr>
    </w:tbl>
    <w:p w:rsidR="00000000" w:rsidDel="00000000" w:rsidP="00000000" w:rsidRDefault="00000000" w:rsidRPr="00000000" w14:paraId="0000001A">
      <w:pPr>
        <w:pStyle w:val="Heading1"/>
        <w:numPr>
          <w:ilvl w:val="0"/>
          <w:numId w:val="1"/>
        </w:numPr>
        <w:ind w:left="720" w:hanging="360"/>
        <w:rPr>
          <w:u w:val="none"/>
        </w:rPr>
      </w:pPr>
      <w:bookmarkStart w:colFirst="0" w:colLast="0" w:name="_cvzw95kvmu13" w:id="1"/>
      <w:bookmarkEnd w:id="1"/>
      <w:r w:rsidDel="00000000" w:rsidR="00000000" w:rsidRPr="00000000">
        <w:rPr>
          <w:rtl w:val="0"/>
        </w:rPr>
        <w:t xml:space="preserve">Introduction</w:t>
      </w:r>
    </w:p>
    <w:p w:rsidR="00000000" w:rsidDel="00000000" w:rsidP="00000000" w:rsidRDefault="00000000" w:rsidRPr="00000000" w14:paraId="0000001B">
      <w:pPr>
        <w:ind w:left="0" w:firstLine="0"/>
        <w:rPr/>
      </w:pPr>
      <w:r w:rsidDel="00000000" w:rsidR="00000000" w:rsidRPr="00000000">
        <w:rPr>
          <w:b w:val="1"/>
          <w:bCs w:val="1"/>
          <w:rtl w:val="0"/>
        </w:rPr>
        <w:t xml:space="preserve">The Measurement Gap</w:t>
      </w:r>
      <w:r w:rsidDel="00000000" w:rsidR="00000000" w:rsidRPr="00000000">
        <w:rPr>
          <w:rtl w:val="0"/>
        </w:rPr>
        <w:t xml:space="preserve">: The gap between AI capabilities and our ability to measure manipulation is widening. Models game engagement metrics because it works. Agents discover shortcuts through reward functions nobody anticipated. Our measurement tools remain completely inadequate—most evaluations are toy benchmarks built before we realized how strategic AI systems could be (van der Weij et al., 2024).</w:t>
      </w:r>
    </w:p>
    <w:p w:rsidR="00000000" w:rsidDel="00000000" w:rsidP="00000000" w:rsidRDefault="00000000" w:rsidRPr="00000000" w14:paraId="0000001C">
      <w:pPr>
        <w:ind w:left="0" w:firstLine="0"/>
        <w:rPr/>
      </w:pPr>
      <w:r w:rsidDel="00000000" w:rsidR="00000000" w:rsidRPr="00000000">
        <w:rPr>
          <w:rtl w:val="0"/>
        </w:rPr>
        <w:t xml:space="preserve">Hallucination represents a fundamental form of AI manipulation: the confident presentation of fabricated information. Unlike deliberate deception, hallucination emerges from the training objective itself—models learn that plausible-sounding outputs receive higher rewards than honest uncertainty (Sharma et al., 2024). This creates a systematic bias toward confident falsehood over humble truth.</w:t>
      </w: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The Problem with Point Evaluations</w:t>
      </w:r>
      <w:r w:rsidDel="00000000" w:rsidR="00000000" w:rsidRPr="00000000">
        <w:rPr>
          <w:rtl w:val="0"/>
        </w:rPr>
        <w:t xml:space="preserve">: Current hallucination detection focuses on individual queries: "Did the model get this fact right?" This misses critical patterns:</w:t>
      </w:r>
    </w:p>
    <w:p w:rsidR="00000000" w:rsidDel="00000000" w:rsidP="00000000" w:rsidRDefault="00000000" w:rsidRPr="00000000" w14:paraId="0000001E">
      <w:pPr>
        <w:rPr/>
      </w:pPr>
      <w:r w:rsidDel="00000000" w:rsidR="00000000" w:rsidRPr="00000000">
        <w:rPr>
          <w:rtl w:val="0"/>
        </w:rPr>
        <w:t xml:space="preserve">- Geographic bias: Models hallucinate more on smaller economies, less-documented regions, and recent political changes</w:t>
      </w:r>
    </w:p>
    <w:p w:rsidR="00000000" w:rsidDel="00000000" w:rsidP="00000000" w:rsidRDefault="00000000" w:rsidRPr="00000000" w14:paraId="0000001F">
      <w:pPr>
        <w:rPr/>
      </w:pPr>
      <w:r w:rsidDel="00000000" w:rsidR="00000000" w:rsidRPr="00000000">
        <w:rPr>
          <w:rtl w:val="0"/>
        </w:rPr>
        <w:t xml:space="preserve">- Temporal drift: Knowledge accuracy degrades predictably after training cutoff dates</w:t>
      </w:r>
    </w:p>
    <w:p w:rsidR="00000000" w:rsidDel="00000000" w:rsidP="00000000" w:rsidRDefault="00000000" w:rsidRPr="00000000" w14:paraId="00000020">
      <w:pPr>
        <w:rPr/>
      </w:pPr>
      <w:r w:rsidDel="00000000" w:rsidR="00000000" w:rsidRPr="00000000">
        <w:rPr>
          <w:rtl w:val="0"/>
        </w:rPr>
        <w:t xml:space="preserve">- Cross-model variance: When e.g. GPT, Claude, and Gemini disagree, uncertainty is high—but single-model evaluations miss this signal</w:t>
      </w:r>
    </w:p>
    <w:p w:rsidR="00000000" w:rsidDel="00000000" w:rsidP="00000000" w:rsidRDefault="00000000" w:rsidRPr="00000000" w14:paraId="00000021">
      <w:pPr>
        <w:rPr/>
      </w:pPr>
      <w:r w:rsidDel="00000000" w:rsidR="00000000" w:rsidRPr="00000000">
        <w:rPr>
          <w:rtl w:val="0"/>
        </w:rPr>
        <w:t xml:space="preserve">We need </w:t>
      </w:r>
      <w:r w:rsidDel="00000000" w:rsidR="00000000" w:rsidRPr="00000000">
        <w:rPr>
          <w:b w:val="1"/>
          <w:bCs w:val="1"/>
          <w:rtl w:val="0"/>
        </w:rPr>
        <w:t xml:space="preserve">maps</w:t>
      </w:r>
      <w:r w:rsidDel="00000000" w:rsidR="00000000" w:rsidRPr="00000000">
        <w:rPr>
          <w:rtl w:val="0"/>
        </w:rPr>
        <w:t xml:space="preserve">, not just measurements. We aim to answer following research questions: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1. Can geographic visualization reveal systematic patterns in AI hallucination that point evaluations miss?</w:t>
      </w:r>
    </w:p>
    <w:p w:rsidR="00000000" w:rsidDel="00000000" w:rsidP="00000000" w:rsidRDefault="00000000" w:rsidRPr="00000000" w14:paraId="00000024">
      <w:pPr>
        <w:rPr/>
      </w:pPr>
      <w:r w:rsidDel="00000000" w:rsidR="00000000" w:rsidRPr="00000000">
        <w:rPr>
          <w:rtl w:val="0"/>
        </w:rPr>
        <w:t xml:space="preserve">2. Does cross-model consensus provide a reliable uncertainty signal for hallucination detection?</w:t>
      </w:r>
    </w:p>
    <w:p w:rsidR="00000000" w:rsidDel="00000000" w:rsidP="00000000" w:rsidRDefault="00000000" w:rsidRPr="00000000" w14:paraId="00000025">
      <w:pPr>
        <w:rPr/>
      </w:pPr>
      <w:r w:rsidDel="00000000" w:rsidR="00000000" w:rsidRPr="00000000">
        <w:rPr>
          <w:rtl w:val="0"/>
        </w:rPr>
        <w:t xml:space="preserve">3. Can we build tools that enable researchers to evaluate arbitrary topic domains without specialized infrastructure?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We present </w:t>
      </w:r>
      <w:r w:rsidDel="00000000" w:rsidR="00000000" w:rsidRPr="00000000">
        <w:rPr>
          <w:b w:val="1"/>
          <w:bCs w:val="1"/>
          <w:rtl w:val="0"/>
        </w:rPr>
        <w:t xml:space="preserve">Hallucination Heatmap</w:t>
      </w:r>
      <w:r w:rsidDel="00000000" w:rsidR="00000000" w:rsidRPr="00000000">
        <w:rPr>
          <w:rtl w:val="0"/>
        </w:rPr>
        <w:t xml:space="preserve">, an open-source visualization tool that: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Maps AI knowledge boundaries across 50+ countries with real-time comparison to ground truth</w:t>
      </w:r>
    </w:p>
    <w:p w:rsidR="00000000" w:rsidDel="00000000" w:rsidP="00000000" w:rsidRDefault="00000000" w:rsidRPr="00000000" w14:paraId="0000002A">
      <w:pPr>
        <w:rPr/>
      </w:pPr>
      <w:r w:rsidDel="00000000" w:rsidR="00000000" w:rsidRPr="00000000">
        <w:rPr>
          <w:rtl w:val="0"/>
        </w:rPr>
        <w:t xml:space="preserve">- Implements three complementary evaluation methodologies (MPE, LLM-as-Judge, Cross-Model Consensus)</w:t>
      </w:r>
    </w:p>
    <w:p w:rsidR="00000000" w:rsidDel="00000000" w:rsidP="00000000" w:rsidRDefault="00000000" w:rsidRPr="00000000" w14:paraId="0000002B">
      <w:pPr>
        <w:rPr/>
      </w:pPr>
      <w:r w:rsidDel="00000000" w:rsidR="00000000" w:rsidRPr="00000000">
        <w:rPr>
          <w:rtl w:val="0"/>
        </w:rPr>
        <w:t xml:space="preserve">- Provides "Bring Your Own Research" workflows for evaluating arbitrary topics</w:t>
      </w:r>
    </w:p>
    <w:p w:rsidR="00000000" w:rsidDel="00000000" w:rsidP="00000000" w:rsidRDefault="00000000" w:rsidRPr="00000000" w14:paraId="0000002C">
      <w:pPr>
        <w:rPr/>
      </w:pPr>
      <w:r w:rsidDel="00000000" w:rsidR="00000000" w:rsidRPr="00000000">
        <w:rPr>
          <w:rtl w:val="0"/>
        </w:rPr>
        <w:t xml:space="preserve">- Visualizes the gap between AI confidence and verified truth using dual-globe architecture</w:t>
      </w:r>
    </w:p>
    <w:p w:rsidR="00000000" w:rsidDel="00000000" w:rsidP="00000000" w:rsidRDefault="00000000" w:rsidRPr="00000000" w14:paraId="0000002D">
      <w:pPr>
        <w:pStyle w:val="Heading1"/>
        <w:numPr>
          <w:ilvl w:val="0"/>
          <w:numId w:val="1"/>
        </w:numPr>
        <w:ind w:left="720" w:hanging="360"/>
      </w:pPr>
      <w:bookmarkStart w:colFirst="0" w:colLast="0" w:name="_8qz8f8sp3xcr" w:id="2"/>
      <w:bookmarkEnd w:id="2"/>
      <w:r w:rsidDel="00000000" w:rsidR="00000000" w:rsidRPr="00000000">
        <w:rPr>
          <w:rtl w:val="0"/>
        </w:rPr>
        <w:t xml:space="preserve">Methods</w:t>
      </w:r>
    </w:p>
    <w:p w:rsidR="00000000" w:rsidDel="00000000" w:rsidP="00000000" w:rsidRDefault="00000000" w:rsidRPr="00000000" w14:paraId="0000002E">
      <w:pPr>
        <w:pageBreakBefore w:val="0"/>
        <w:spacing w:before="0" w:lineRule="auto"/>
        <w:ind w:left="0" w:firstLine="0"/>
        <w:rPr/>
      </w:pPr>
      <w:r w:rsidDel="00000000" w:rsidR="00000000" w:rsidRPr="00000000">
        <w:rPr>
          <w:rtl w:val="0"/>
        </w:rPr>
      </w:r>
    </w:p>
    <w:p w:rsidR="00000000" w:rsidDel="00000000" w:rsidP="00000000" w:rsidRDefault="00000000" w:rsidRPr="00000000" w14:paraId="0000002F">
      <w:pPr>
        <w:pageBreakBefore w:val="0"/>
        <w:spacing w:before="0" w:lineRule="auto"/>
        <w:ind w:left="0" w:firstLine="0"/>
        <w:rPr/>
      </w:pPr>
      <w:r w:rsidDel="00000000" w:rsidR="00000000" w:rsidRPr="00000000">
        <w:rPr>
          <w:rtl w:val="0"/>
        </w:rPr>
      </w:r>
    </w:p>
    <w:p w:rsidR="00000000" w:rsidDel="00000000" w:rsidP="00000000" w:rsidRDefault="00000000" w:rsidRPr="00000000" w14:paraId="00000030">
      <w:pPr>
        <w:pageBreakBefore w:val="0"/>
        <w:spacing w:before="0" w:lineRule="auto"/>
        <w:ind w:left="0" w:firstLine="0"/>
        <w:rPr/>
      </w:pPr>
      <w:r w:rsidDel="00000000" w:rsidR="00000000" w:rsidRPr="00000000">
        <w:rPr>
          <w:rtl w:val="0"/>
        </w:rPr>
      </w:r>
    </w:p>
    <w:p w:rsidR="00000000" w:rsidDel="00000000" w:rsidP="00000000" w:rsidRDefault="00000000" w:rsidRPr="00000000" w14:paraId="00000031">
      <w:pPr>
        <w:pageBreakBefore w:val="0"/>
        <w:spacing w:before="0" w:lineRule="auto"/>
        <w:ind w:left="0" w:firstLine="0"/>
        <w:rPr/>
      </w:pPr>
      <w:r w:rsidDel="00000000" w:rsidR="00000000" w:rsidRPr="00000000">
        <w:rPr>
          <w:rtl w:val="0"/>
        </w:rPr>
        <w:t xml:space="preserve">Write about the methods, code, and Github repositories you made along the way. What type of model did you train, what were your methods, how did you find your way.</w:t>
      </w:r>
    </w:p>
    <w:p w:rsidR="00000000" w:rsidDel="00000000" w:rsidP="00000000" w:rsidRDefault="00000000" w:rsidRPr="00000000" w14:paraId="00000032">
      <w:pPr>
        <w:pStyle w:val="Heading1"/>
        <w:numPr>
          <w:ilvl w:val="0"/>
          <w:numId w:val="1"/>
        </w:numPr>
        <w:ind w:left="720" w:hanging="360"/>
        <w:jc w:val="left"/>
        <w:rPr>
          <w:u w:val="none"/>
        </w:rPr>
      </w:pPr>
      <w:bookmarkStart w:colFirst="0" w:colLast="0" w:name="_78v3cnu74f49" w:id="3"/>
      <w:bookmarkEnd w:id="3"/>
      <w:r w:rsidDel="00000000" w:rsidR="00000000" w:rsidRPr="00000000">
        <w:rPr>
          <w:rtl w:val="0"/>
        </w:rPr>
        <w:t xml:space="preserve">Results</w:t>
      </w:r>
    </w:p>
    <w:p w:rsidR="00000000" w:rsidDel="00000000" w:rsidP="00000000" w:rsidRDefault="00000000" w:rsidRPr="00000000" w14:paraId="00000033">
      <w:pPr>
        <w:pageBreakBefore w:val="0"/>
        <w:spacing w:before="0" w:lineRule="auto"/>
        <w:ind w:left="0" w:firstLine="0"/>
        <w:rPr/>
      </w:pPr>
      <w:r w:rsidDel="00000000" w:rsidR="00000000" w:rsidRPr="00000000">
        <w:rPr>
          <w:rtl w:val="0"/>
        </w:rPr>
        <w:t xml:space="preserve">Showcase and explain your results here. This is where you include the graphs, screenshots, visualizations, and statistical results from your research.</w:t>
      </w:r>
    </w:p>
    <w:p w:rsidR="00000000" w:rsidDel="00000000" w:rsidP="00000000" w:rsidRDefault="00000000" w:rsidRPr="00000000" w14:paraId="00000034">
      <w:pPr>
        <w:pageBreakBefore w:val="0"/>
        <w:spacing w:before="0" w:lineRule="auto"/>
        <w:ind w:left="0" w:firstLine="0"/>
        <w:rPr/>
      </w:pPr>
      <w:r w:rsidDel="00000000" w:rsidR="00000000" w:rsidRPr="00000000">
        <w:rPr/>
        <w:drawing>
          <wp:inline distB="114300" distT="114300" distL="114300" distR="114300">
            <wp:extent cx="4978730" cy="307181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978730" cy="3071813"/>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ageBreakBefore w:val="0"/>
        <w:spacing w:before="0" w:lineRule="auto"/>
        <w:ind w:left="0" w:firstLine="0"/>
        <w:jc w:val="center"/>
        <w:rPr>
          <w:i w:val="1"/>
          <w:iCs w:val="1"/>
        </w:rPr>
      </w:pPr>
      <w:r w:rsidDel="00000000" w:rsidR="00000000" w:rsidRPr="00000000">
        <w:rPr>
          <w:i w:val="1"/>
          <w:iCs w:val="1"/>
          <w:rtl w:val="0"/>
        </w:rPr>
        <w:t xml:space="preserve">Figure 1 – Representation of benchmarking Number Comprehension Conflation</w:t>
      </w:r>
    </w:p>
    <w:p w:rsidR="00000000" w:rsidDel="00000000" w:rsidP="00000000" w:rsidRDefault="00000000" w:rsidRPr="00000000" w14:paraId="00000036">
      <w:pPr>
        <w:pStyle w:val="Heading1"/>
        <w:numPr>
          <w:ilvl w:val="0"/>
          <w:numId w:val="1"/>
        </w:numPr>
        <w:ind w:left="720" w:hanging="360"/>
        <w:rPr>
          <w:u w:val="none"/>
        </w:rPr>
      </w:pPr>
      <w:bookmarkStart w:colFirst="0" w:colLast="0" w:name="_ie0ju6idepex" w:id="4"/>
      <w:bookmarkEnd w:id="4"/>
      <w:r w:rsidDel="00000000" w:rsidR="00000000" w:rsidRPr="00000000">
        <w:rPr>
          <w:rtl w:val="0"/>
        </w:rPr>
        <w:t xml:space="preserve">Discussion and Conclusion</w:t>
      </w:r>
    </w:p>
    <w:p w:rsidR="00000000" w:rsidDel="00000000" w:rsidP="00000000" w:rsidRDefault="00000000" w:rsidRPr="00000000" w14:paraId="00000037">
      <w:pPr>
        <w:rPr/>
      </w:pPr>
      <w:r w:rsidDel="00000000" w:rsidR="00000000" w:rsidRPr="00000000">
        <w:rPr>
          <w:rtl w:val="0"/>
        </w:rPr>
        <w:t xml:space="preserve">This is where you can include all the wonderful explanations, discussions, results, analyses, statistics, and much more.</w:t>
      </w:r>
    </w:p>
    <w:p w:rsidR="00000000" w:rsidDel="00000000" w:rsidP="00000000" w:rsidRDefault="00000000" w:rsidRPr="00000000" w14:paraId="00000038">
      <w:pPr>
        <w:rPr/>
      </w:pPr>
      <w:r w:rsidDel="00000000" w:rsidR="00000000" w:rsidRPr="00000000">
        <w:rPr>
          <w:rtl w:val="0"/>
        </w:rPr>
        <w:t xml:space="preserve">Let’s add a few citations: </w:t>
      </w:r>
      <w:hyperlink r:id="rId8">
        <w:r w:rsidDel="00000000" w:rsidR="00000000" w:rsidRPr="00000000">
          <w:rPr>
            <w:vertAlign w:val="baseline"/>
            <w:rtl w:val="0"/>
          </w:rPr>
          <w:t xml:space="preserve">(Alon, 2006; Goh et al., 2021; Lindner et al., 2023; Olah et al., 2020; Weiss et al., 2021)</w:t>
        </w:r>
      </w:hyperlink>
      <w:r w:rsidDel="00000000" w:rsidR="00000000" w:rsidRPr="00000000">
        <w:rPr>
          <w:rtl w:val="0"/>
        </w:rPr>
        <w:t xml:space="preserve">. Here, we use the </w:t>
      </w:r>
      <w:hyperlink r:id="rId9">
        <w:r w:rsidDel="00000000" w:rsidR="00000000" w:rsidRPr="00000000">
          <w:rPr>
            <w:color w:val="1155cc"/>
            <w:u w:val="single"/>
            <w:rtl w:val="0"/>
          </w:rPr>
          <w:t xml:space="preserve">Zotero software</w:t>
        </w:r>
      </w:hyperlink>
      <w:r w:rsidDel="00000000" w:rsidR="00000000" w:rsidRPr="00000000">
        <w:rPr>
          <w:rtl w:val="0"/>
        </w:rPr>
        <w:t xml:space="preserve"> with the </w:t>
      </w:r>
      <w:hyperlink r:id="rId10">
        <w:r w:rsidDel="00000000" w:rsidR="00000000" w:rsidRPr="00000000">
          <w:rPr>
            <w:color w:val="1155cc"/>
            <w:u w:val="single"/>
            <w:rtl w:val="0"/>
          </w:rPr>
          <w:t xml:space="preserve">Zotero add-on for Chrome</w:t>
        </w:r>
      </w:hyperlink>
      <w:r w:rsidDel="00000000" w:rsidR="00000000" w:rsidRPr="00000000">
        <w:rPr>
          <w:rtl w:val="0"/>
        </w:rPr>
        <w:t xml:space="preserve"> and </w:t>
      </w:r>
      <w:hyperlink r:id="rId11">
        <w:r w:rsidDel="00000000" w:rsidR="00000000" w:rsidRPr="00000000">
          <w:rPr>
            <w:color w:val="1155cc"/>
            <w:u w:val="single"/>
            <w:rtl w:val="0"/>
          </w:rPr>
          <w:t xml:space="preserve">Google Docs</w:t>
        </w:r>
      </w:hyperlink>
      <w:r w:rsidDel="00000000" w:rsidR="00000000" w:rsidRPr="00000000">
        <w:rPr>
          <w:rtl w:val="0"/>
        </w:rPr>
        <w:t xml:space="preserve"> for citation management but you can also write them manually (for significantly more hassle).</w:t>
      </w:r>
      <w:r w:rsidDel="00000000" w:rsidR="00000000" w:rsidRPr="00000000">
        <w:rPr>
          <w:rtl w:val="0"/>
        </w:rPr>
      </w:r>
    </w:p>
    <w:p w:rsidR="00000000" w:rsidDel="00000000" w:rsidP="00000000" w:rsidRDefault="00000000" w:rsidRPr="00000000" w14:paraId="00000039">
      <w:pPr>
        <w:pStyle w:val="Heading1"/>
        <w:pageBreakBefore w:val="0"/>
        <w:numPr>
          <w:ilvl w:val="0"/>
          <w:numId w:val="1"/>
        </w:numPr>
        <w:pBdr>
          <w:top w:space="0" w:sz="0" w:val="nil"/>
          <w:left w:space="0" w:sz="0" w:val="nil"/>
          <w:bottom w:space="0" w:sz="0" w:val="nil"/>
          <w:right w:space="0" w:sz="0" w:val="nil"/>
          <w:between w:space="0" w:sz="0" w:val="nil"/>
        </w:pBdr>
        <w:shd w:fill="auto" w:val="clear"/>
        <w:ind w:left="720" w:hanging="360"/>
        <w:jc w:val="left"/>
        <w:rPr>
          <w:u w:val="none"/>
        </w:rPr>
      </w:pPr>
      <w:bookmarkStart w:colFirst="0" w:colLast="0" w:name="_5p6nqclc9pda" w:id="5"/>
      <w:bookmarkEnd w:id="5"/>
      <w:r w:rsidDel="00000000" w:rsidR="00000000" w:rsidRPr="00000000">
        <w:rPr>
          <w:rtl w:val="0"/>
        </w:rPr>
        <w:t xml:space="preserve">References</w:t>
      </w:r>
    </w:p>
    <w:p w:rsidR="00000000" w:rsidDel="00000000" w:rsidP="00000000" w:rsidRDefault="00000000" w:rsidRPr="00000000" w14:paraId="0000003A">
      <w:pPr>
        <w:spacing w:line="276" w:lineRule="auto"/>
        <w:ind w:left="720" w:hanging="720"/>
        <w:rPr/>
      </w:pPr>
      <w:hyperlink r:id="rId12">
        <w:r w:rsidDel="00000000" w:rsidR="00000000" w:rsidRPr="00000000">
          <w:rPr>
            <w:vertAlign w:val="baseline"/>
            <w:rtl w:val="0"/>
          </w:rPr>
          <w:t xml:space="preserve">Alon, U. (2006). </w:t>
        </w:r>
      </w:hyperlink>
      <w:hyperlink r:id="rId13">
        <w:r w:rsidDel="00000000" w:rsidR="00000000" w:rsidRPr="00000000">
          <w:rPr>
            <w:i w:val="1"/>
            <w:iCs w:val="1"/>
            <w:vertAlign w:val="baseline"/>
            <w:rtl w:val="0"/>
          </w:rPr>
          <w:t xml:space="preserve">An Introduction to Systems Biology: Design Principles of Biological Circuits</w:t>
        </w:r>
      </w:hyperlink>
      <w:hyperlink r:id="rId14">
        <w:r w:rsidDel="00000000" w:rsidR="00000000" w:rsidRPr="00000000">
          <w:rPr>
            <w:vertAlign w:val="baseline"/>
            <w:rtl w:val="0"/>
          </w:rPr>
          <w:t xml:space="preserve"> (0 ed.). Chapman and Hall/CRC. https://doi.org/10.1201/9781420011432</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hyperlink r:id="rId15">
        <w:r w:rsidDel="00000000" w:rsidR="00000000" w:rsidRPr="00000000">
          <w:rPr>
            <w:vertAlign w:val="baseline"/>
            <w:rtl w:val="0"/>
          </w:rPr>
          <w:t xml:space="preserve">Goh, G., Cammarata, N., Voss, C., Carter, S., Petrov, M., Schubert, L., Radford, A., &amp; Olah, C. (2021). Multimodal Neurons in Artificial Neural Networks. </w:t>
        </w:r>
      </w:hyperlink>
      <w:hyperlink r:id="rId16">
        <w:r w:rsidDel="00000000" w:rsidR="00000000" w:rsidRPr="00000000">
          <w:rPr>
            <w:i w:val="1"/>
            <w:iCs w:val="1"/>
            <w:vertAlign w:val="baseline"/>
            <w:rtl w:val="0"/>
          </w:rPr>
          <w:t xml:space="preserve">Distill</w:t>
        </w:r>
      </w:hyperlink>
      <w:hyperlink r:id="rId17">
        <w:r w:rsidDel="00000000" w:rsidR="00000000" w:rsidRPr="00000000">
          <w:rPr>
            <w:vertAlign w:val="baseline"/>
            <w:rtl w:val="0"/>
          </w:rPr>
          <w:t xml:space="preserve">, </w:t>
        </w:r>
      </w:hyperlink>
      <w:hyperlink r:id="rId18">
        <w:r w:rsidDel="00000000" w:rsidR="00000000" w:rsidRPr="00000000">
          <w:rPr>
            <w:i w:val="1"/>
            <w:iCs w:val="1"/>
            <w:vertAlign w:val="baseline"/>
            <w:rtl w:val="0"/>
          </w:rPr>
          <w:t xml:space="preserve">6</w:t>
        </w:r>
      </w:hyperlink>
      <w:hyperlink r:id="rId19">
        <w:r w:rsidDel="00000000" w:rsidR="00000000" w:rsidRPr="00000000">
          <w:rPr>
            <w:vertAlign w:val="baseline"/>
            <w:rtl w:val="0"/>
          </w:rPr>
          <w:t xml:space="preserve">(3), 10.23915/distill.00030. https://doi.org/10.23915/distill.00030</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hyperlink r:id="rId20">
        <w:r w:rsidDel="00000000" w:rsidR="00000000" w:rsidRPr="00000000">
          <w:rPr>
            <w:vertAlign w:val="baseline"/>
            <w:rtl w:val="0"/>
          </w:rPr>
          <w:t xml:space="preserve">Lindner, D., Kramár, J., Rahtz, M., McGrath, T., &amp; Mikulik, V. (2023). </w:t>
        </w:r>
      </w:hyperlink>
      <w:hyperlink r:id="rId21">
        <w:r w:rsidDel="00000000" w:rsidR="00000000" w:rsidRPr="00000000">
          <w:rPr>
            <w:i w:val="1"/>
            <w:iCs w:val="1"/>
            <w:vertAlign w:val="baseline"/>
            <w:rtl w:val="0"/>
          </w:rPr>
          <w:t xml:space="preserve">Tracr: Compiled Transformers as a Laboratory for Interpretability</w:t>
        </w:r>
      </w:hyperlink>
      <w:hyperlink r:id="rId22">
        <w:r w:rsidDel="00000000" w:rsidR="00000000" w:rsidRPr="00000000">
          <w:rPr>
            <w:vertAlign w:val="baseline"/>
            <w:rtl w:val="0"/>
          </w:rPr>
          <w:t xml:space="preserve"> (arXiv:2301.05062). arXiv. http://arxiv.org/abs/2301.05062</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hyperlink r:id="rId23">
        <w:r w:rsidDel="00000000" w:rsidR="00000000" w:rsidRPr="00000000">
          <w:rPr>
            <w:vertAlign w:val="baseline"/>
            <w:rtl w:val="0"/>
          </w:rPr>
          <w:t xml:space="preserve">Olah, C., Cammarata, N., Schubert, L., Goh, G., Petrov, M., &amp; Carter, S. (2020). Zoom In: An Introduction to Circuits. </w:t>
        </w:r>
      </w:hyperlink>
      <w:hyperlink r:id="rId24">
        <w:r w:rsidDel="00000000" w:rsidR="00000000" w:rsidRPr="00000000">
          <w:rPr>
            <w:i w:val="1"/>
            <w:iCs w:val="1"/>
            <w:vertAlign w:val="baseline"/>
            <w:rtl w:val="0"/>
          </w:rPr>
          <w:t xml:space="preserve">Distill</w:t>
        </w:r>
      </w:hyperlink>
      <w:hyperlink r:id="rId25">
        <w:r w:rsidDel="00000000" w:rsidR="00000000" w:rsidRPr="00000000">
          <w:rPr>
            <w:vertAlign w:val="baseline"/>
            <w:rtl w:val="0"/>
          </w:rPr>
          <w:t xml:space="preserve">, </w:t>
        </w:r>
      </w:hyperlink>
      <w:hyperlink r:id="rId26">
        <w:r w:rsidDel="00000000" w:rsidR="00000000" w:rsidRPr="00000000">
          <w:rPr>
            <w:i w:val="1"/>
            <w:iCs w:val="1"/>
            <w:vertAlign w:val="baseline"/>
            <w:rtl w:val="0"/>
          </w:rPr>
          <w:t xml:space="preserve">5</w:t>
        </w:r>
      </w:hyperlink>
      <w:hyperlink r:id="rId27">
        <w:r w:rsidDel="00000000" w:rsidR="00000000" w:rsidRPr="00000000">
          <w:rPr>
            <w:vertAlign w:val="baseline"/>
            <w:rtl w:val="0"/>
          </w:rPr>
          <w:t xml:space="preserve">(3), 10.23915/distill.00024.001. https://doi.org/10.23915/distill.00024.001</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pPr>
      <w:hyperlink r:id="rId28">
        <w:r w:rsidDel="00000000" w:rsidR="00000000" w:rsidRPr="00000000">
          <w:rPr>
            <w:vertAlign w:val="baseline"/>
            <w:rtl w:val="0"/>
          </w:rPr>
          <w:t xml:space="preserve">Weiss, G., Goldberg, Y., &amp; Yahav, E. (2021). </w:t>
        </w:r>
      </w:hyperlink>
      <w:hyperlink r:id="rId29">
        <w:r w:rsidDel="00000000" w:rsidR="00000000" w:rsidRPr="00000000">
          <w:rPr>
            <w:i w:val="1"/>
            <w:iCs w:val="1"/>
            <w:vertAlign w:val="baseline"/>
            <w:rtl w:val="0"/>
          </w:rPr>
          <w:t xml:space="preserve">Thinking Like Transformers</w:t>
        </w:r>
      </w:hyperlink>
      <w:hyperlink r:id="rId30">
        <w:r w:rsidDel="00000000" w:rsidR="00000000" w:rsidRPr="00000000">
          <w:rPr>
            <w:vertAlign w:val="baseline"/>
            <w:rtl w:val="0"/>
          </w:rPr>
          <w:t xml:space="preserve"> (arXiv:2106.06981). arXiv. </w:t>
        </w:r>
      </w:hyperlink>
      <w:hyperlink r:id="rId31">
        <w:r w:rsidDel="00000000" w:rsidR="00000000" w:rsidRPr="00000000">
          <w:rPr>
            <w:vertAlign w:val="baseline"/>
            <w:rtl w:val="0"/>
          </w:rPr>
          <w:t xml:space="preserve">http://arxiv.org/abs/2106.06981</w:t>
        </w:r>
      </w:hyperlink>
      <w:r w:rsidDel="00000000" w:rsidR="00000000" w:rsidRPr="00000000">
        <w:rPr>
          <w:rtl w:val="0"/>
        </w:rPr>
      </w:r>
    </w:p>
    <w:p w:rsidR="00000000" w:rsidDel="00000000" w:rsidP="00000000" w:rsidRDefault="00000000" w:rsidRPr="00000000" w14:paraId="0000003F">
      <w:pPr>
        <w:pStyle w:val="Heading1"/>
        <w:numPr>
          <w:ilvl w:val="0"/>
          <w:numId w:val="1"/>
        </w:numPr>
        <w:ind w:left="720" w:hanging="360"/>
        <w:jc w:val="left"/>
        <w:rPr>
          <w:b w:val="1"/>
          <w:bCs w:val="1"/>
          <w:sz w:val="28"/>
          <w:szCs w:val="28"/>
        </w:rPr>
      </w:pPr>
      <w:bookmarkStart w:colFirst="0" w:colLast="0" w:name="_65x6cl7wxw4m" w:id="6"/>
      <w:bookmarkEnd w:id="6"/>
      <w:r w:rsidDel="00000000" w:rsidR="00000000" w:rsidRPr="00000000">
        <w:rPr>
          <w:rtl w:val="0"/>
        </w:rPr>
        <w:t xml:space="preserve">Appendix</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Include an appendix called "Security Considerations" that outlines potential limitations of your approach and suggestions for future improvements.</w:t>
      </w:r>
    </w:p>
    <w:p w:rsidR="00000000" w:rsidDel="00000000" w:rsidP="00000000" w:rsidRDefault="00000000" w:rsidRPr="00000000" w14:paraId="00000041">
      <w:pPr>
        <w:rPr/>
      </w:pPr>
      <w:r w:rsidDel="00000000" w:rsidR="00000000" w:rsidRPr="00000000">
        <w:rPr>
          <w:rtl w:val="0"/>
        </w:rPr>
      </w:r>
    </w:p>
    <w:sectPr>
      <w:headerReference r:id="rId32" w:type="default"/>
      <w:headerReference r:id="rId33" w:type="first"/>
      <w:footerReference r:id="rId34" w:type="default"/>
      <w:footerReference r:id="rId35" w:type="first"/>
      <w:pgSz w:h="15840" w:w="12240" w:orient="portrait"/>
      <w:pgMar w:bottom="1008" w:top="720" w:left="2160" w:right="216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rPr/>
    </w:pPr>
    <w:r w:rsidDel="00000000" w:rsidR="00000000" w:rsidRPr="00000000">
      <w:rPr>
        <w:sz w:val="20"/>
        <w:szCs w:val="20"/>
        <w:rtl w:val="0"/>
      </w:rPr>
      <w:t xml:space="preserve">Apart Research Hackathon Submission</w:t>
      <w:tab/>
      <w:t xml:space="preserve">      </w:t>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46">
      <w:pPr>
        <w:spacing w:line="240" w:lineRule="auto"/>
        <w:ind w:left="0" w:firstLine="0"/>
        <w:jc w:val="left"/>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Research conducted at the </w:t>
      </w:r>
      <w:hyperlink r:id="rId1">
        <w:r w:rsidDel="00000000" w:rsidR="00000000" w:rsidRPr="00000000">
          <w:rPr>
            <w:color w:val="1155cc"/>
            <w:sz w:val="20"/>
            <w:szCs w:val="20"/>
            <w:u w:val="single"/>
            <w:rtl w:val="0"/>
          </w:rPr>
          <w:t xml:space="preserve">AI Manipulation Hackathon</w:t>
        </w:r>
      </w:hyperlink>
      <w:r w:rsidDel="00000000" w:rsidR="00000000" w:rsidRPr="00000000">
        <w:rPr>
          <w:sz w:val="20"/>
          <w:szCs w:val="20"/>
          <w:rtl w:val="0"/>
        </w:rPr>
        <w:t xml:space="preserve">, 2026</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before="960" w:lineRule="auto"/>
      <w:ind w:left="0" w:firstLine="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before="960" w:lineRule="auto"/>
      <w:ind w:left="0"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ld Standard TT" w:cs="Old Standard TT" w:eastAsia="Old Standard TT" w:hAnsi="Old Standard TT"/>
        <w:sz w:val="22"/>
        <w:szCs w:val="22"/>
        <w:lang w:val="en"/>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b w:val="1"/>
      <w:bCs w:val="1"/>
      <w:sz w:val="28"/>
      <w:szCs w:val="28"/>
    </w:rPr>
  </w:style>
  <w:style w:type="paragraph" w:styleId="Heading2">
    <w:name w:val="heading 2"/>
    <w:basedOn w:val="Normal"/>
    <w:next w:val="Normal"/>
    <w:pPr>
      <w:keepNext w:val="1"/>
      <w:keepLines w:val="1"/>
      <w:pageBreakBefore w:val="0"/>
    </w:pPr>
    <w:rPr>
      <w:b w:val="1"/>
      <w:bCs w:val="1"/>
    </w:rPr>
  </w:style>
  <w:style w:type="paragraph" w:styleId="Heading3">
    <w:name w:val="heading 3"/>
    <w:basedOn w:val="Normal"/>
    <w:next w:val="Normal"/>
    <w:pPr>
      <w:keepNext w:val="1"/>
      <w:keepLines w:val="1"/>
      <w:pageBreakBefore w:val="0"/>
      <w:ind w:firstLine="720"/>
    </w:pPr>
    <w:rPr>
      <w:b w:val="1"/>
      <w:bCs w:val="1"/>
    </w:rPr>
  </w:style>
  <w:style w:type="paragraph" w:styleId="Heading4">
    <w:name w:val="heading 4"/>
    <w:basedOn w:val="Normal"/>
    <w:next w:val="Normal"/>
    <w:pPr>
      <w:keepNext w:val="1"/>
      <w:keepLines w:val="1"/>
      <w:pageBreakBefore w:val="0"/>
      <w:ind w:firstLine="720"/>
    </w:pPr>
    <w:rPr>
      <w:b w:val="1"/>
      <w:bCs w:val="1"/>
      <w:i w:val="1"/>
      <w:iCs w:val="1"/>
    </w:rPr>
  </w:style>
  <w:style w:type="paragraph" w:styleId="Heading5">
    <w:name w:val="heading 5"/>
    <w:basedOn w:val="Normal"/>
    <w:next w:val="Normal"/>
    <w:pPr>
      <w:keepNext w:val="1"/>
      <w:keepLines w:val="1"/>
      <w:pageBreakBefore w:val="0"/>
    </w:pPr>
    <w:rPr>
      <w:i w:val="1"/>
      <w:iCs w:val="1"/>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2160" w:lineRule="auto"/>
      <w:jc w:val="center"/>
    </w:pPr>
    <w:rPr/>
  </w:style>
  <w:style w:type="paragraph" w:styleId="Subtitle">
    <w:name w:val="Subtitle"/>
    <w:basedOn w:val="Normal"/>
    <w:next w:val="Normal"/>
    <w:pPr>
      <w:keepNext w:val="1"/>
      <w:keepLines w:val="1"/>
      <w:pageBreakBefore w:val="0"/>
      <w:jc w:val="center"/>
    </w:pPr>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zotero.org/google-docs/?DBRhm3" TargetMode="External"/><Relationship Id="rId22" Type="http://schemas.openxmlformats.org/officeDocument/2006/relationships/hyperlink" Target="https://www.zotero.org/google-docs/?DBRhm3" TargetMode="External"/><Relationship Id="rId21" Type="http://schemas.openxmlformats.org/officeDocument/2006/relationships/hyperlink" Target="https://www.zotero.org/google-docs/?DBRhm3" TargetMode="External"/><Relationship Id="rId24" Type="http://schemas.openxmlformats.org/officeDocument/2006/relationships/hyperlink" Target="https://www.zotero.org/google-docs/?DBRhm3" TargetMode="External"/><Relationship Id="rId23" Type="http://schemas.openxmlformats.org/officeDocument/2006/relationships/hyperlink" Target="https://www.zotero.org/google-docs/?DBRhm3"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zotero.org/" TargetMode="External"/><Relationship Id="rId26" Type="http://schemas.openxmlformats.org/officeDocument/2006/relationships/hyperlink" Target="https://www.zotero.org/google-docs/?DBRhm3" TargetMode="External"/><Relationship Id="rId25" Type="http://schemas.openxmlformats.org/officeDocument/2006/relationships/hyperlink" Target="https://www.zotero.org/google-docs/?DBRhm3" TargetMode="External"/><Relationship Id="rId28" Type="http://schemas.openxmlformats.org/officeDocument/2006/relationships/hyperlink" Target="https://www.zotero.org/google-docs/?DBRhm3" TargetMode="External"/><Relationship Id="rId27" Type="http://schemas.openxmlformats.org/officeDocument/2006/relationships/hyperlink" Target="https://www.zotero.org/google-docs/?DBRhm3"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zotero.org/google-docs/?DBRhm3" TargetMode="External"/><Relationship Id="rId7" Type="http://schemas.openxmlformats.org/officeDocument/2006/relationships/image" Target="media/image1.png"/><Relationship Id="rId8" Type="http://schemas.openxmlformats.org/officeDocument/2006/relationships/hyperlink" Target="https://www.zotero.org/google-docs/?78Dsre" TargetMode="External"/><Relationship Id="rId31" Type="http://schemas.openxmlformats.org/officeDocument/2006/relationships/hyperlink" Target="http://arxiv.org/abs/2106.06981" TargetMode="External"/><Relationship Id="rId30" Type="http://schemas.openxmlformats.org/officeDocument/2006/relationships/hyperlink" Target="https://www.zotero.org/google-docs/?DBRhm3" TargetMode="External"/><Relationship Id="rId11" Type="http://schemas.openxmlformats.org/officeDocument/2006/relationships/hyperlink" Target="https://www.zotero.org/support/google_docs" TargetMode="External"/><Relationship Id="rId33" Type="http://schemas.openxmlformats.org/officeDocument/2006/relationships/header" Target="header2.xml"/><Relationship Id="rId10" Type="http://schemas.openxmlformats.org/officeDocument/2006/relationships/hyperlink" Target="https://chrome.google.com/webstore/detail/zotero-connector/ekhagklcjbdpajgpjgmbionohlpdbjgc?hl=en" TargetMode="External"/><Relationship Id="rId32" Type="http://schemas.openxmlformats.org/officeDocument/2006/relationships/header" Target="header1.xml"/><Relationship Id="rId13" Type="http://schemas.openxmlformats.org/officeDocument/2006/relationships/hyperlink" Target="https://www.zotero.org/google-docs/?DBRhm3" TargetMode="External"/><Relationship Id="rId35" Type="http://schemas.openxmlformats.org/officeDocument/2006/relationships/footer" Target="footer1.xml"/><Relationship Id="rId12" Type="http://schemas.openxmlformats.org/officeDocument/2006/relationships/hyperlink" Target="https://www.zotero.org/google-docs/?DBRhm3" TargetMode="External"/><Relationship Id="rId34" Type="http://schemas.openxmlformats.org/officeDocument/2006/relationships/footer" Target="footer2.xml"/><Relationship Id="rId15" Type="http://schemas.openxmlformats.org/officeDocument/2006/relationships/hyperlink" Target="https://www.zotero.org/google-docs/?DBRhm3" TargetMode="External"/><Relationship Id="rId14" Type="http://schemas.openxmlformats.org/officeDocument/2006/relationships/hyperlink" Target="https://www.zotero.org/google-docs/?DBRhm3" TargetMode="External"/><Relationship Id="rId17" Type="http://schemas.openxmlformats.org/officeDocument/2006/relationships/hyperlink" Target="https://www.zotero.org/google-docs/?DBRhm3" TargetMode="External"/><Relationship Id="rId16" Type="http://schemas.openxmlformats.org/officeDocument/2006/relationships/hyperlink" Target="https://www.zotero.org/google-docs/?DBRhm3" TargetMode="External"/><Relationship Id="rId19" Type="http://schemas.openxmlformats.org/officeDocument/2006/relationships/hyperlink" Target="https://www.zotero.org/google-docs/?DBRhm3" TargetMode="External"/><Relationship Id="rId18" Type="http://schemas.openxmlformats.org/officeDocument/2006/relationships/hyperlink" Target="https://www.zotero.org/google-docs/?DBRhm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ai-manipulation-hackathon-2026-01-09-to-2026-01-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