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Employee Handbook</w:t>
      </w:r>
    </w:p>
    <w:p>
      <w:r>
        <w:t xml:space="preserve">This handbook explains how leave, benefits and equipment work at ACME.</w:t>
      </w:r>
    </w:p>
    <w:p>
      <w:pPr>
        <w:pStyle w:val="Heading1"/>
      </w:pPr>
      <w:r>
        <w:t xml:space="preserve">1 Leave</w:t>
      </w:r>
    </w:p>
    <w:p>
      <w:r>
        <w:t xml:space="preserve">Every full-time employee receives annual leave. Apply through the HR portal.</w:t>
      </w:r>
    </w:p>
    <w:p>
      <w:pPr>
        <w:pStyle w:val="ListBullet"/>
      </w:pPr>
      <w:r>
        <w:t xml:space="preserve">Apply at least three days ahead.</w:t>
      </w:r>
    </w:p>
    <w:p>
      <w:pPr>
        <w:numPr>
          <w:ilvl w:val="1"/>
          <w:numId w:val="1"/>
        </w:numPr>
      </w:pPr>
      <w:r>
        <w:t xml:space="preserve">Your manager approves the request.</w:t>
      </w:r>
    </w:p>
    <w:p>
      <w:pPr>
        <w:pStyle w:val="ListBullet"/>
      </w:pPr>
      <w:r>
        <w:t xml:space="preserve">Unused days carry over until March.</w:t>
      </w:r>
    </w:p>
    <w:p>
      <w:pPr>
        <w:pStyle w:val="Caption"/>
      </w:pPr>
      <w:r>
        <w:t xml:space="preserve">Leave entitlements</w:t>
      </w:r>
    </w:p>
    <w:tbl>
      <w:tr>
        <w:tc>
          <w:p>
            <w:r>
              <w:t>Leave type</w:t>
            </w:r>
          </w:p>
        </w:tc>
        <w:tc>
          <w:p>
            <w:r>
              <w:t>Days</w:t>
            </w:r>
          </w:p>
        </w:tc>
        <w:tc>
          <w:p>
            <w:r>
              <w:t>Paid</w:t>
            </w:r>
          </w:p>
        </w:tc>
      </w:tr>
      <w:tr>
        <w:tc>
          <w:p>
            <w:r>
              <w:t>Annual</w:t>
            </w:r>
          </w:p>
        </w:tc>
        <w:tc>
          <w:p>
            <w:r>
              <w:t>12</w:t>
            </w:r>
          </w:p>
        </w:tc>
        <w:tc>
          <w:tcPr>
            <w:vMerge w:val="restart"/>
          </w:tcPr>
          <w:p>
            <w:r>
              <w:t>Yes</w:t>
            </w:r>
          </w:p>
        </w:tc>
      </w:tr>
      <w:tr>
        <w:tc>
          <w:p>
            <w:r>
              <w:t>Sick</w:t>
            </w:r>
          </w:p>
        </w:tc>
        <w:tc>
          <w:p>
            <w:r>
              <w:t>30</w:t>
            </w:r>
          </w:p>
        </w:tc>
        <w:tc>
          <w:tcPr>
            <w:vMerge/>
          </w:tcPr>
          <w:p/>
        </w:tc>
      </w:tr>
      <w:tr>
        <w:tc>
          <w:tcPr>
            <w:gridSpan w:val="2"/>
          </w:tcPr>
          <w:p>
            <w:r>
              <w:t>Unpaid leave by agreement</w:t>
            </w:r>
          </w:p>
        </w:tc>
        <w:tc>
          <w:p>
            <w:r>
              <w:t>No</w:t>
            </w:r>
          </w:p>
        </w:tc>
      </w:tr>
    </w:tbl>
    <w:p>
      <w:pPr>
        <w:pStyle w:val="PolicyHeading"/>
      </w:pPr>
      <w:r>
        <w:t xml:space="preserve">1.1 Sick leave</w:t>
      </w:r>
    </w:p>
    <w:p>
      <w:r>
        <w:t xml:space="preserve">Sick leave needs a doctor's note after two days.</w:t>
      </w:r>
      <w:del>
        <w:r>
          <w:delText>one day</w:delText>
        </w:r>
      </w:del>
    </w:p>
    <w:p>
      <w:r>
        <w:t xml:space="preserve">Steps to request leave:</w:t>
      </w:r>
    </w:p>
    <w:p>
      <w:pPr>
        <w:numPr>
          <w:ilvl w:val="0"/>
          <w:numId w:val="2"/>
        </w:numPr>
      </w:pPr>
      <w:r>
        <w:t xml:space="preserve">Open the portal.</w:t>
      </w:r>
    </w:p>
    <w:p>
      <w:pPr>
        <w:numPr>
          <w:ilvl w:val="0"/>
          <w:numId w:val="2"/>
        </w:numPr>
      </w:pPr>
      <w:r>
        <w:t xml:space="preserve">Choose the dates.</w:t>
      </w:r>
    </w:p>
    <w:p>
      <w:pPr>
        <w:numPr>
          <w:ilvl w:val="1"/>
          <w:numId w:val="2"/>
        </w:numPr>
      </w:pPr>
      <w:r>
        <w:t xml:space="preserve">Half days are allowed.</w:t>
      </w:r>
    </w:p>
    <w:p>
      <w:pPr>
        <w:numPr>
          <w:ilvl w:val="0"/>
          <w:numId w:val="2"/>
        </w:numPr>
      </w:pPr>
      <w:r>
        <w:t xml:space="preserve">Submit.</w:t>
      </w:r>
    </w:p>
    <w:p>
      <w:pPr>
        <w:pStyle w:val="Heading1"/>
      </w:pPr>
      <w:r>
        <w:t xml:space="preserve">2 Phúc lợi</w:t>
      </w:r>
    </w:p>
    <w:p>
      <w:r>
        <w:t xml:space="preserve">Nhân viên được hỗ trợ ăn trưa và gửi xe.</w:t>
      </w:r>
      <w:r>
        <w:br/>
        <w:t>Mức hỗ trợ cập nhật hằng năm.</w:t>
      </w:r>
    </w:p>
    <w:p>
      <w:pPr>
        <w:pStyle w:val="Tieude3"/>
      </w:pPr>
      <w:r>
        <w:t xml:space="preserve">2.1 Thiết bị</w:t>
      </w:r>
    </w:p>
    <w:p>
      <w:r>
        <w:t xml:space="preserve">Each employee gets a laptop.</w:t>
      </w:r>
      <w:r>
        <w:drawing>
          <wp:inline>
            <wp:docPr id="1" name="Picture 1" descr="Organisation chart of the HR team"/>
            <a:graphic>
              <a:graphicData uri="http://schemas.openxmlformats.org/drawingml/2006/picture">
                <pic:pic>
                  <pic:nvPicPr>
                    <pic:cNvPr id="1" name="org.png"/>
                  </pic:nvPicPr>
                </pic:pic>
              </a:graphicData>
            </a:graphic>
          </wp:inline>
        </w:drawing>
      </w:r>
    </w:p>
    <w:tbl>
      <w:tr>
        <w:tc>
          <w:p>
            <w:r>
              <w:t xml:space="preserve">A boxed note: policies are reviewed every January.</w:t>
            </w:r>
          </w:p>
        </w:tc>
      </w:tr>
    </w:tbl>
    <w:p>
      <w:pPr>
        <w:pStyle w:val="SourceCode"/>
      </w:pPr>
      <w:r>
        <w:t xml:space="preserve">curl -X POST https://hr.example/api/leave</w:t>
      </w:r>
    </w:p>
    <w:sectPr/>
  </w:body>
</w:document>
</file>

<file path=word/footer1.xml><?xml version="1.0" encoding="utf-8"?>
<w:ftr xmlns:w="http://schemas.openxmlformats.org/wordprocessingml/2006/main">
  <w:p>
    <w:r>
      <w:t xml:space="preserve">Confidential - page</w:t>
    </w:r>
  </w:p>
</w:ftr>
</file>

<file path=word/footnotes.xml><?xml version="1.0" encoding="utf-8"?>
<w:footnotes xmlns:w="http://schemas.openxmlformats.org/wordprocessingml/2006/main">
  <w:footnote w:id="-1">
    <w:p/>
  </w:footnote>
  <w:footnote w:id="0">
    <w:p/>
  </w:footnote>
  <w:footnote w:id="1">
    <w:p>
      <w:r>
        <w:t xml:space="preserve">Part-time staff receive leave pro rata.</w:t>
      </w:r>
    </w:p>
  </w:footnote>
</w:footnotes>
</file>

<file path=word/header1.xml><?xml version="1.0" encoding="utf-8"?>
<w:hdr xmlns:w="http://schemas.openxmlformats.org/wordprocessingml/2006/main">
  <w:p>
    <w:r>
      <w:t xml:space="preserve">ACME Internal</w:t>
    </w:r>
  </w:p>
</w:hdr>
</file>

<file path=word/numbering.xml><?xml version="1.0" encoding="utf-8"?>
<w:numbering xmlns:w="http://schemas.openxmlformats.org/wordprocessingml/2006/main">
  <w:abstractNum w:abstractNumId="10">
    <w:lvl w:ilvl="0">
      <w:start w:val="1"/>
      <w:numFmt w:val="bullet"/>
      <w:lvlText w:val="•"/>
    </w:lvl>
    <w:lvl w:ilvl="1">
      <w:start w:val="1"/>
      <w:numFmt w:val="bullet"/>
      <w:lvlText w:val="o"/>
    </w:lvl>
  </w:abstractNum>
  <w:abstractNum w:abstractNumId="20">
    <w:lvl w:ilvl="0">
      <w:start w:val="1"/>
      <w:numFmt w:val="decimal"/>
      <w:lvlText w:val="%1."/>
    </w:lvl>
    <w:lvl w:ilvl="1">
      <w:start w:val="1"/>
      <w:numFmt w:val="lowerLetter"/>
      <w:lvlText w:val="%1.%2)"/>
    </w:lvl>
  </w:abstractNum>
  <w:num w:numId="1">
    <w:abstractNumId w:val="10"/>
  </w:num>
  <w:num w:numId="2">
    <w:abstractNumId w:val="20"/>
  </w:num>
</w:numbering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  <w:style w:type="paragraph" w:styleId="PolicyHeading">
    <w:name w:val="Policy Heading"/>
    <w:basedOn w:val="Heading2"/>
  </w:style>
  <w:style w:type="paragraph" w:styleId="Tieude3">
    <w:name w:val="Tiêu đề 3"/>
    <w:basedOn w:val="Normal"/>
    <w:pPr>
      <w:outlineLvl w:val="2"/>
    </w:pPr>
  </w:style>
  <w:style w:type="paragraph" w:styleId="Caption">
    <w:name w:val="caption"/>
    <w:basedOn w:val="Normal"/>
  </w:style>
  <w:style w:type="paragraph" w:styleId="ListBullet">
    <w:name w:val="List Bullet"/>
    <w:basedOn w:val="Normal"/>
    <w:pPr>
      <w:numPr>
        <w:numId w:val="1"/>
      </w:numPr>
    </w:pPr>
  </w:style>
  <w:style w:type="paragraph" w:styleId="SourceCode">
    <w:name w:val="Source Code"/>
    <w:basedOn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otnotes" Target="footnotes.xml"/></Relationships>
</file>

<file path=docProps/core.xml><?xml version="1.0" encoding="utf-8"?>
<cp:coreProperties xmlns:cp="http://schemas.openxmlformats.org/package/2006/metadata/core-properties" xmlns:dc="http://purl.org/dc/elements/1.1/">
  <dc:title>ACME Employee Handbook</dc:title>
</cp:coreProperties>
</file>