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after="80"/>
        <w:jc w:val="center"/>
      </w:pPr>
      <w:r>
        <w:rPr>
          <w:rFonts w:ascii="Times New Roman" w:hAnsi="Times New Roman" w:eastAsia="Times New Roman"/>
          <w:b/>
          <w:i w:val="0"/>
          <w:color w:val="0B4F6C"/>
          <w:sz w:val="36"/>
        </w:rPr>
        <w:t>VCMS Project Report (Modules Only)</w:t>
      </w:r>
    </w:p>
    <w:p>
      <w:pPr>
        <w:spacing w:line="300" w:lineRule="auto" w:after="8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Detailed Pointwise Version (Viva Ready)</w:t>
      </w:r>
    </w:p>
    <w:p>
      <w:pPr>
        <w:spacing w:line="300" w:lineRule="auto" w:after="8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Virtual Clinic Management System</w:t>
      </w:r>
    </w:p>
    <w:p>
      <w:pPr>
        <w:spacing w:line="300" w:lineRule="auto" w:after="8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Only six modules are included below. Architecture-level discussion is intentionally excluded.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0B4F6C"/>
          <w:sz w:val="28"/>
        </w:rPr>
        <w:t>1. User Management Module</w:t>
      </w:r>
    </w:p>
    <w:p>
      <w:pPr>
        <w:spacing w:line="300" w:lineRule="auto" w:after="12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Objective: This module manages user identity, authentication, authorization, and account lifecycle for Patient, Doctor, and Admin users.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1F2937"/>
          <w:sz w:val="24"/>
        </w:rPr>
        <w:t>1.1 Role Model and Access Governance</w:t>
      </w:r>
    </w:p>
    <w:p>
      <w:pPr>
        <w:spacing w:line="300" w:lineRule="auto" w:after="60"/>
        <w:ind w:left="454"/>
      </w:pPr>
      <w:r>
        <w:rPr>
          <w:rFonts w:ascii="Times New Roman" w:hAnsi="Times New Roman" w:eastAsia="Times New Roman"/>
          <w:b w:val="0"/>
          <w:i w:val="0"/>
          <w:sz w:val="24"/>
        </w:rPr>
        <w:t>User governance is implemented as a strict role-based structure across pages, APIs, and data access.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Three core roles are supported: Patient, Doctor, and Admin.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Protected frontend routes ensure role-specific dashboards are isolated and secure.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Backend middleware validates user role before allowing access to restricted operations.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Admin role includes approval and status control for account governance workflows.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Notification, settings, and profile personalization flows are role-aware and tied to this module.</w:t>
      </w:r>
    </w:p>
    <w:p>
      <w:pPr>
        <w:spacing w:after="6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1F2937"/>
          <w:sz w:val="24"/>
        </w:rPr>
        <w:t>1.2 Registration, Login, and Account Operations</w:t>
      </w:r>
    </w:p>
    <w:p>
      <w:pPr>
        <w:spacing w:line="300" w:lineRule="auto" w:after="60"/>
        <w:ind w:left="454"/>
      </w:pPr>
      <w:r>
        <w:rPr>
          <w:rFonts w:ascii="Times New Roman" w:hAnsi="Times New Roman" w:eastAsia="Times New Roman"/>
          <w:b w:val="0"/>
          <w:i w:val="0"/>
          <w:sz w:val="24"/>
        </w:rPr>
        <w:t>Account creation and session flows cover the full user lifecycle from onboarding to secure re-login.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Registration fields include name, email, phone, password, and selected role.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Doctor profile fields include specialization, consultation fee, and professional data.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Patient profile supports age/date-of-birth and basic health background details.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Login, logout, profile update, password reset, and token refresh workflows are integrated.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Session continuity supports protected access to appointments, prescriptions, AI analyzer, and video pages.</w:t>
      </w:r>
    </w:p>
    <w:p>
      <w:pPr>
        <w:spacing w:after="6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1F2937"/>
          <w:sz w:val="24"/>
        </w:rPr>
        <w:t>1.3 Security and Persistence</w:t>
      </w:r>
    </w:p>
    <w:p>
      <w:pPr>
        <w:spacing w:line="300" w:lineRule="auto" w:after="60"/>
        <w:ind w:left="454"/>
      </w:pPr>
      <w:r>
        <w:rPr>
          <w:rFonts w:ascii="Times New Roman" w:hAnsi="Times New Roman" w:eastAsia="Times New Roman"/>
          <w:b w:val="0"/>
          <w:i w:val="0"/>
          <w:sz w:val="24"/>
        </w:rPr>
        <w:t>Security controls are integrated at credential, session, and API levels.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Passwords are stored as bcrypt hashes, never plain text.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JWT tokens secure authenticated API usage and protected session flow.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Input validation/sanitization guards are applied on critical auth routes.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Users collection stores role metadata, profile data, approval flags, and account status fields.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Audit-friendly account metadata supports admin governance and compliance discussions in viva.</w:t>
      </w:r>
    </w:p>
    <w:p>
      <w:pPr>
        <w:spacing w:after="60"/>
      </w:pP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0B4F6C"/>
          <w:sz w:val="28"/>
        </w:rPr>
        <w:t>2. Appointment Management Module</w:t>
      </w:r>
    </w:p>
    <w:p>
      <w:pPr>
        <w:spacing w:line="300" w:lineRule="auto" w:after="12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Objective: This module provides complete appointment scheduling and tracking from booking request to consultation completion.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1F2937"/>
          <w:sz w:val="24"/>
        </w:rPr>
        <w:t>2.1 Booking Methods and User Flow</w:t>
      </w:r>
    </w:p>
    <w:p>
      <w:pPr>
        <w:spacing w:line="300" w:lineRule="auto" w:after="60"/>
        <w:ind w:left="454"/>
      </w:pPr>
      <w:r>
        <w:rPr>
          <w:rFonts w:ascii="Times New Roman" w:hAnsi="Times New Roman" w:eastAsia="Times New Roman"/>
          <w:b w:val="0"/>
          <w:i w:val="0"/>
          <w:sz w:val="24"/>
        </w:rPr>
        <w:t>Appointments can be created through manual and guided interaction modes for better usability.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Manual flow allows patient to select doctor, date, and time slot directly.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Chatbot flow asks symptoms, specialization preference, date, and time to simplify booking.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Doctor and admin dashboards expose role-specific appointment views and actions.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Public doctor discovery and specialization filtering feed this booking pipeline.</w:t>
      </w:r>
    </w:p>
    <w:p>
      <w:pPr>
        <w:spacing w:after="6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1F2937"/>
          <w:sz w:val="24"/>
        </w:rPr>
        <w:t>2.2 Status Lifecycle and Business Rules</w:t>
      </w:r>
    </w:p>
    <w:p>
      <w:pPr>
        <w:spacing w:line="300" w:lineRule="auto" w:after="60"/>
        <w:ind w:left="454"/>
      </w:pPr>
      <w:r>
        <w:rPr>
          <w:rFonts w:ascii="Times New Roman" w:hAnsi="Times New Roman" w:eastAsia="Times New Roman"/>
          <w:b w:val="0"/>
          <w:i w:val="0"/>
          <w:sz w:val="24"/>
        </w:rPr>
        <w:t>Each booking follows a controlled status model backed by validation rules.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Status pipeline includes Booked, Accepted, In Progress, Completed, Rejected, and Cancelled.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Slot conflict checks and schedule validation prevent invalid or duplicate bookings.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Reason-based rejection/cancellation support keeps decisions auditable.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Role-specific actions: patient book/cancel, doctor accept/reject, admin supervise globally.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Lifecycle transitions are reflected in real time to maintain cross-dashboard consistency.</w:t>
      </w:r>
    </w:p>
    <w:p>
      <w:pPr>
        <w:spacing w:after="6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1F2937"/>
          <w:sz w:val="24"/>
        </w:rPr>
        <w:t>2.3 Realtime Integration and Data Model</w:t>
      </w:r>
    </w:p>
    <w:p>
      <w:pPr>
        <w:spacing w:line="300" w:lineRule="auto" w:after="60"/>
        <w:ind w:left="454"/>
      </w:pPr>
      <w:r>
        <w:rPr>
          <w:rFonts w:ascii="Times New Roman" w:hAnsi="Times New Roman" w:eastAsia="Times New Roman"/>
          <w:b w:val="0"/>
          <w:i w:val="0"/>
          <w:sz w:val="24"/>
        </w:rPr>
        <w:t>Appointment data drives downstream modules and real-time user awareness.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Socket-based updates push immediate appointment status changes to active users.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Appointment APIs support create/list/get/update/cancel/accept/reject/slot checking.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Appointments collection stores patientId, doctorId, symptoms, notes, status, and timestamps.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Confirmed appointments act as trigger point for video consultation and prescription flow.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Medical-history context and notification records are linked to appointment events.</w:t>
      </w:r>
    </w:p>
    <w:p>
      <w:pPr>
        <w:spacing w:after="60"/>
      </w:pP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0B4F6C"/>
          <w:sz w:val="28"/>
        </w:rPr>
        <w:t>3. Video Consultation Module</w:t>
      </w:r>
    </w:p>
    <w:p>
      <w:pPr>
        <w:spacing w:line="300" w:lineRule="auto" w:after="12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Objective: This module enables secure in-app teleconsultation so doctor and patient can consult in real time without external meeting tools.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1F2937"/>
          <w:sz w:val="24"/>
        </w:rPr>
        <w:t>3.1 Consultation Session Flow</w:t>
      </w:r>
    </w:p>
    <w:p>
      <w:pPr>
        <w:spacing w:line="300" w:lineRule="auto" w:after="60"/>
        <w:ind w:left="454"/>
      </w:pPr>
      <w:r>
        <w:rPr>
          <w:rFonts w:ascii="Times New Roman" w:hAnsi="Times New Roman" w:eastAsia="Times New Roman"/>
          <w:b w:val="0"/>
          <w:i w:val="0"/>
          <w:sz w:val="24"/>
        </w:rPr>
        <w:t>Video sessions are linked with appointment context to preserve clinical continuity.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Doctor and patient join consultation room mapped to scheduled appointment context.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Session lifecycle states include waiting, active, and ended.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In-app call flow avoids context switching to third-party platforms.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Consultation continuity is preserved because patient, doctor, and appointment records remain in one system.</w:t>
      </w:r>
    </w:p>
    <w:p>
      <w:pPr>
        <w:spacing w:after="6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1F2937"/>
          <w:sz w:val="24"/>
        </w:rPr>
        <w:t>3.2 WebRTC and Signaling</w:t>
      </w:r>
    </w:p>
    <w:p>
      <w:pPr>
        <w:spacing w:line="300" w:lineRule="auto" w:after="60"/>
        <w:ind w:left="454"/>
      </w:pPr>
      <w:r>
        <w:rPr>
          <w:rFonts w:ascii="Times New Roman" w:hAnsi="Times New Roman" w:eastAsia="Times New Roman"/>
          <w:b w:val="0"/>
          <w:i w:val="0"/>
          <w:sz w:val="24"/>
        </w:rPr>
        <w:t>Media and signaling layers are implemented using modern web real-time standards.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WebRTC handles peer audio/video connection.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Socket.IO signaling exchanges offer, answer, ICE candidate, and call events.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Connection-state events support resilient session setup and user feedback.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Realtime chat and notification hooks support communication before and during consultation.</w:t>
      </w:r>
    </w:p>
    <w:p>
      <w:pPr>
        <w:spacing w:after="6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1F2937"/>
          <w:sz w:val="24"/>
        </w:rPr>
        <w:t>3.3 UI Controls and Persistence</w:t>
      </w:r>
    </w:p>
    <w:p>
      <w:pPr>
        <w:spacing w:line="300" w:lineRule="auto" w:after="60"/>
        <w:ind w:left="454"/>
      </w:pPr>
      <w:r>
        <w:rPr>
          <w:rFonts w:ascii="Times New Roman" w:hAnsi="Times New Roman" w:eastAsia="Times New Roman"/>
          <w:b w:val="0"/>
          <w:i w:val="0"/>
          <w:sz w:val="24"/>
        </w:rPr>
        <w:t>User interface and backend routes maintain full consultation traceability.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Video UI supports mic/camera controls, join/leave, and connection indicators.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Video APIs cover room create/fetch/status updates.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VideoSessions collection stores appointment linkage, participants, roomId, and timestamps.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Call completion feeds downstream prescription and appointment-finalization actions.</w:t>
      </w:r>
    </w:p>
    <w:p>
      <w:pPr>
        <w:spacing w:after="60"/>
      </w:pP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0B4F6C"/>
          <w:sz w:val="28"/>
        </w:rPr>
        <w:t>4. Prescription Management Module</w:t>
      </w:r>
    </w:p>
    <w:p>
      <w:pPr>
        <w:spacing w:line="300" w:lineRule="auto" w:after="12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Objective: This module captures treatment outcomes as digital prescriptions linked to patient consultation records.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1F2937"/>
          <w:sz w:val="24"/>
        </w:rPr>
        <w:t>4.1 Prescription Lifecycle and Usage</w:t>
      </w:r>
    </w:p>
    <w:p>
      <w:pPr>
        <w:spacing w:line="300" w:lineRule="auto" w:after="60"/>
        <w:ind w:left="454"/>
      </w:pPr>
      <w:r>
        <w:rPr>
          <w:rFonts w:ascii="Times New Roman" w:hAnsi="Times New Roman" w:eastAsia="Times New Roman"/>
          <w:b w:val="0"/>
          <w:i w:val="0"/>
          <w:sz w:val="24"/>
        </w:rPr>
        <w:t>Prescription records are generated after consultation and remain available for follow-up care.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Doctors can create and issue prescriptions after consultation completion.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Patients can access active and historical prescriptions from dashboard interfaces.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Status-based actions support prescription tracking across issue/view/update events.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Prescription workflow is integrated with appointment closure and doctor follow-up flow.</w:t>
      </w:r>
    </w:p>
    <w:p>
      <w:pPr>
        <w:spacing w:after="6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1F2937"/>
          <w:sz w:val="24"/>
        </w:rPr>
        <w:t>4.2 Clinical Data Structure</w:t>
      </w:r>
    </w:p>
    <w:p>
      <w:pPr>
        <w:spacing w:line="300" w:lineRule="auto" w:after="60"/>
        <w:ind w:left="454"/>
      </w:pPr>
      <w:r>
        <w:rPr>
          <w:rFonts w:ascii="Times New Roman" w:hAnsi="Times New Roman" w:eastAsia="Times New Roman"/>
          <w:b w:val="0"/>
          <w:i w:val="0"/>
          <w:sz w:val="24"/>
        </w:rPr>
        <w:t>Prescription schema is designed for practical medication management and traceability.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Data includes medicine name, dosage, frequency, duration, quantity, and instructions.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Diagnosis notes and validity metadata support contextual treatment continuity.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Each record is linked to doctorId, patientId, and appointmentId references for traceability.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Medical history alignment allows treatment progression to be explained in viva demonstrations.</w:t>
      </w:r>
    </w:p>
    <w:p>
      <w:pPr>
        <w:spacing w:after="6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1F2937"/>
          <w:sz w:val="24"/>
        </w:rPr>
        <w:t>4.3 Frontend, Backend, and Database Coverage</w:t>
      </w:r>
    </w:p>
    <w:p>
      <w:pPr>
        <w:spacing w:line="300" w:lineRule="auto" w:after="60"/>
        <w:ind w:left="454"/>
      </w:pPr>
      <w:r>
        <w:rPr>
          <w:rFonts w:ascii="Times New Roman" w:hAnsi="Times New Roman" w:eastAsia="Times New Roman"/>
          <w:b w:val="0"/>
          <w:i w:val="0"/>
          <w:sz w:val="24"/>
        </w:rPr>
        <w:t>Prescription functionality is fully integrated across views, APIs, and storage.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Frontend includes create form, list pages, detail views, and patient-readable output.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Backend supports create/list/get/update/issue and appointment-linked retrieval.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Prescriptions collection stores medicine arrays and lifecycle metadata for future audit/use.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PDF/view flow and notification triggers improve practical usability for patients.</w:t>
      </w:r>
    </w:p>
    <w:p>
      <w:pPr>
        <w:spacing w:after="60"/>
      </w:pP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0B4F6C"/>
          <w:sz w:val="28"/>
        </w:rPr>
        <w:t>5. AI Health Advisory Module</w:t>
      </w:r>
    </w:p>
    <w:p>
      <w:pPr>
        <w:spacing w:line="300" w:lineRule="auto" w:after="12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Objective: This module provides AI-assisted guidance for symptom routing, report understanding, and patient-friendly clinical summarization.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1F2937"/>
          <w:sz w:val="24"/>
        </w:rPr>
        <w:t>5.1 Decision Support and Summarization</w:t>
      </w:r>
    </w:p>
    <w:p>
      <w:pPr>
        <w:spacing w:line="300" w:lineRule="auto" w:after="60"/>
        <w:ind w:left="454"/>
      </w:pPr>
      <w:r>
        <w:rPr>
          <w:rFonts w:ascii="Times New Roman" w:hAnsi="Times New Roman" w:eastAsia="Times New Roman"/>
          <w:b w:val="0"/>
          <w:i w:val="0"/>
          <w:sz w:val="24"/>
        </w:rPr>
        <w:t>AI features improve patient understanding while preserving doctor authority.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Symptom-driven specialization recommendations guide patients to suitable doctors.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Doctor notes can be transformed into concise, user-readable summaries.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Advisory outputs improve triage clarity and reduce confusion for non-technical users.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AI guidance is designed to support, not replace, clinical decision by doctors.</w:t>
      </w:r>
    </w:p>
    <w:p>
      <w:pPr>
        <w:spacing w:after="6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1F2937"/>
          <w:sz w:val="24"/>
        </w:rPr>
        <w:t>5.2 OCR and Document Simplification</w:t>
      </w:r>
    </w:p>
    <w:p>
      <w:pPr>
        <w:spacing w:line="300" w:lineRule="auto" w:after="60"/>
        <w:ind w:left="454"/>
      </w:pPr>
      <w:r>
        <w:rPr>
          <w:rFonts w:ascii="Times New Roman" w:hAnsi="Times New Roman" w:eastAsia="Times New Roman"/>
          <w:b w:val="0"/>
          <w:i w:val="0"/>
          <w:sz w:val="24"/>
        </w:rPr>
        <w:t>Complex medical documents are converted into readable output using extraction + AI processing.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Uploaded images/PDFs are parsed through OCR/text extraction pipeline.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Extracted content is summarized into structured, simplified medical guidance.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Result sections are presented in easy-to-understand blocks on frontend analyzer pages.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Multi-step analysis improves readability of complex pathology and clinical documents.</w:t>
      </w:r>
    </w:p>
    <w:p>
      <w:pPr>
        <w:spacing w:after="6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1F2937"/>
          <w:sz w:val="24"/>
        </w:rPr>
        <w:t>5.3 Technical and Safety Controls</w:t>
      </w:r>
    </w:p>
    <w:p>
      <w:pPr>
        <w:spacing w:line="300" w:lineRule="auto" w:after="60"/>
        <w:ind w:left="454"/>
      </w:pPr>
      <w:r>
        <w:rPr>
          <w:rFonts w:ascii="Times New Roman" w:hAnsi="Times New Roman" w:eastAsia="Times New Roman"/>
          <w:b w:val="0"/>
          <w:i w:val="0"/>
          <w:sz w:val="24"/>
        </w:rPr>
        <w:t>AI integration includes both functionality and medical safety boundaries.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Frontend includes upload, progress, and summary rendering workflows.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Backend AI endpoints support extraction, summarization, and formatted response generation.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System explicitly marks outputs as informational only, not final diagnosis.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Error handling and fallback behavior improve reliability during viva demos.</w:t>
      </w:r>
    </w:p>
    <w:p>
      <w:pPr>
        <w:spacing w:after="60"/>
      </w:pP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0B4F6C"/>
          <w:sz w:val="28"/>
        </w:rPr>
        <w:t>6. Wellness Module</w:t>
      </w:r>
    </w:p>
    <w:p>
      <w:pPr>
        <w:spacing w:line="300" w:lineRule="auto" w:after="120"/>
        <w:ind w:left="283"/>
      </w:pPr>
      <w:r>
        <w:rPr>
          <w:rFonts w:ascii="Times New Roman" w:hAnsi="Times New Roman" w:eastAsia="Times New Roman"/>
          <w:b w:val="0"/>
          <w:i w:val="0"/>
          <w:sz w:val="24"/>
        </w:rPr>
        <w:t>Objective: This module focuses on preventive awareness by analyzing family health indicators and risk tendencies.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1F2937"/>
          <w:sz w:val="24"/>
        </w:rPr>
        <w:t>6.1 Preventive Objective and Scope</w:t>
      </w:r>
    </w:p>
    <w:p>
      <w:pPr>
        <w:spacing w:line="300" w:lineRule="auto" w:after="60"/>
        <w:ind w:left="454"/>
      </w:pPr>
      <w:r>
        <w:rPr>
          <w:rFonts w:ascii="Times New Roman" w:hAnsi="Times New Roman" w:eastAsia="Times New Roman"/>
          <w:b w:val="0"/>
          <w:i w:val="0"/>
          <w:sz w:val="24"/>
        </w:rPr>
        <w:t>Wellness logic extends platform value beyond treatment toward early awareness.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Users submit family-health indicators and related lifestyle context.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Module helps identify potential hereditary awareness signals early.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Output complements consultation decisions but does not replace them.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Module extends project scope from treatment-only to preventive-care orientation.</w:t>
      </w:r>
    </w:p>
    <w:p>
      <w:pPr>
        <w:spacing w:after="6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1F2937"/>
          <w:sz w:val="24"/>
        </w:rPr>
        <w:t>6.2 Risk Processing and Output Design</w:t>
      </w:r>
    </w:p>
    <w:p>
      <w:pPr>
        <w:spacing w:line="300" w:lineRule="auto" w:after="60"/>
        <w:ind w:left="454"/>
      </w:pPr>
      <w:r>
        <w:rPr>
          <w:rFonts w:ascii="Times New Roman" w:hAnsi="Times New Roman" w:eastAsia="Times New Roman"/>
          <w:b w:val="0"/>
          <w:i w:val="0"/>
          <w:sz w:val="24"/>
        </w:rPr>
        <w:t>Risk awareness output is intentionally simple, readable, and non-clinical.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Rule-based live processing generates awareness-oriented feedback.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Result style is low/moderate/high guidance rather than medical diagnosis.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Users are directed to seek doctor consultation for clinical conclusions.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Presentation is intentionally simple so non-technical users can understand risk tendencies quickly.</w:t>
      </w:r>
    </w:p>
    <w:p>
      <w:pPr>
        <w:spacing w:after="6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1F2937"/>
          <w:sz w:val="24"/>
        </w:rPr>
        <w:t>6.3 Privacy and Frontend Experience</w:t>
      </w:r>
    </w:p>
    <w:p>
      <w:pPr>
        <w:spacing w:line="300" w:lineRule="auto" w:after="60"/>
        <w:ind w:left="454"/>
      </w:pPr>
      <w:r>
        <w:rPr>
          <w:rFonts w:ascii="Times New Roman" w:hAnsi="Times New Roman" w:eastAsia="Times New Roman"/>
          <w:b w:val="0"/>
          <w:i w:val="0"/>
          <w:sz w:val="24"/>
        </w:rPr>
        <w:t>Wellness UX is designed for quick awareness with strong privacy posture.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Data is processed live and not stored as permanent clinical record.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Frontend supports guided questionnaire/dialog with immediate result view.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Design increases health awareness while minimizing persistence risks.</w:t>
      </w:r>
    </w:p>
    <w:p>
      <w:pPr>
        <w:pStyle w:val="ListBullet"/>
        <w:spacing w:line="300" w:lineRule="auto" w:before="20" w:after="40"/>
        <w:ind w:left="567" w:hanging="198"/>
      </w:pPr>
      <w:r>
        <w:rPr>
          <w:rFonts w:ascii="Times New Roman" w:hAnsi="Times New Roman" w:eastAsia="Times New Roman"/>
          <w:b w:val="0"/>
          <w:i w:val="0"/>
          <w:sz w:val="24"/>
        </w:rPr>
        <w:t>Privacy-first behavior is aligned with healthcare sensitivity expectations.</w:t>
      </w:r>
    </w:p>
    <w:p>
      <w:pPr>
        <w:spacing w:after="60"/>
      </w:pPr>
    </w:p>
    <w:p>
      <w:pPr>
        <w:spacing w:before="160" w:after="80"/>
      </w:pPr>
      <w:r>
        <w:rPr>
          <w:rFonts w:ascii="Times New Roman" w:hAnsi="Times New Roman" w:eastAsia="Times New Roman"/>
          <w:b/>
          <w:i w:val="0"/>
          <w:color w:val="0B4F6C"/>
          <w:sz w:val="28"/>
        </w:rPr>
        <w:t>Guide Remarks / Suggestions</w:t>
      </w:r>
    </w:p>
    <w:p>
      <w:pPr>
        <w:spacing w:line="300" w:lineRule="auto" w:after="80"/>
      </w:pPr>
      <w:r>
        <w:rPr>
          <w:rFonts w:ascii="Times New Roman" w:hAnsi="Times New Roman" w:eastAsia="Times New Roman"/>
          <w:b/>
          <w:i w:val="0"/>
          <w:sz w:val="24"/>
        </w:rPr>
        <w:t>Guide Remark: Detailed module-only report prepared with complete project feature mapping.</w:t>
      </w:r>
    </w:p>
    <w:p>
      <w:pPr>
        <w:spacing w:line="300" w:lineRule="auto" w:after="80"/>
      </w:pPr>
      <w:r>
        <w:rPr>
          <w:rFonts w:ascii="Times New Roman" w:hAnsi="Times New Roman" w:eastAsia="Times New Roman"/>
          <w:b/>
          <w:i w:val="0"/>
          <w:sz w:val="24"/>
        </w:rPr>
        <w:t>Guide Signature: ______________________________</w:t>
      </w:r>
    </w:p>
    <w:p>
      <w:pPr>
        <w:spacing w:line="300" w:lineRule="auto" w:after="80"/>
      </w:pPr>
      <w:r>
        <w:rPr>
          <w:rFonts w:ascii="Times New Roman" w:hAnsi="Times New Roman" w:eastAsia="Times New Roman"/>
          <w:b/>
          <w:i w:val="0"/>
          <w:sz w:val="24"/>
        </w:rPr>
        <w:t>Date: ______________________________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