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774AC2" w:rsidP="007A23F7">
      <w:pPr>
        <w:spacing w:after="2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7A23F7">
        <w:rPr>
          <w:rFonts w:ascii="Gentium Book Basic" w:hAnsi="Gentium Book Basic" w:cs="Times New Roman"/>
          <w:b/>
          <w:sz w:val="28"/>
          <w:szCs w:val="28"/>
        </w:rPr>
        <w:t>8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r w:rsidR="00B820CE">
        <w:rPr>
          <w:rFonts w:ascii="Gentium Book Basic" w:hAnsi="Gentium Book Basic" w:cs="Times New Roman"/>
          <w:b/>
          <w:sz w:val="28"/>
          <w:szCs w:val="28"/>
        </w:rPr>
        <w:t>1 Corinthians</w:t>
      </w:r>
      <w:r w:rsidR="00081C3C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7A23F7">
        <w:rPr>
          <w:rFonts w:ascii="Gentium Book Basic" w:hAnsi="Gentium Book Basic" w:cs="Times New Roman"/>
          <w:b/>
          <w:sz w:val="28"/>
          <w:szCs w:val="28"/>
        </w:rPr>
        <w:t>10</w:t>
      </w:r>
      <w:r w:rsidR="002163CA">
        <w:rPr>
          <w:rFonts w:ascii="Gentium Book Basic" w:hAnsi="Gentium Book Basic" w:cs="Times New Roman"/>
          <w:b/>
          <w:sz w:val="28"/>
          <w:szCs w:val="28"/>
        </w:rPr>
        <w:t>:1</w:t>
      </w:r>
      <w:r w:rsidR="00081C3C">
        <w:rPr>
          <w:rFonts w:ascii="Gentium Book Basic" w:hAnsi="Gentium Book Basic" w:cs="Times New Roman"/>
          <w:b/>
          <w:sz w:val="28"/>
          <w:szCs w:val="28"/>
        </w:rPr>
        <w:t>–</w:t>
      </w:r>
      <w:r w:rsidR="007A23F7">
        <w:rPr>
          <w:rFonts w:ascii="Gentium Book Basic" w:hAnsi="Gentium Book Basic" w:cs="Times New Roman"/>
          <w:b/>
          <w:sz w:val="28"/>
          <w:szCs w:val="28"/>
        </w:rPr>
        <w:t>11:1</w:t>
      </w:r>
    </w:p>
    <w:p w:rsidR="00AF7C1E" w:rsidRDefault="006320B5" w:rsidP="003D1971">
      <w:pPr>
        <w:spacing w:after="12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>
        <w:rPr>
          <w:rFonts w:ascii="Gentium Book Basic" w:hAnsi="Gentium Book Basic" w:cs="Arial"/>
          <w:b/>
          <w:bCs/>
          <w:sz w:val="24"/>
          <w:szCs w:val="24"/>
          <w:lang w:bidi="he-IL"/>
        </w:rPr>
        <w:t>Introduction:</w:t>
      </w:r>
      <w:r w:rsidR="0001037E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</w:t>
      </w:r>
    </w:p>
    <w:p w:rsidR="00E75EAF" w:rsidRDefault="00C71986" w:rsidP="000C34E5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 xml:space="preserve">In chapter 10, Paul concludes his discussion of the matter of food offered to idols. </w:t>
      </w:r>
      <w:r w:rsidR="003D1971">
        <w:rPr>
          <w:rFonts w:ascii="Gentium Book Basic" w:hAnsi="Gentium Book Basic" w:cs="Arial"/>
          <w:sz w:val="24"/>
          <w:szCs w:val="24"/>
          <w:lang w:bidi="he-IL"/>
        </w:rPr>
        <w:t xml:space="preserve">After pointing to his own life as an example in chapter 9, Paul now provides two further examples in 10:1–22 to refute the Corinthians’ practice of attending meals at pagan temples. </w:t>
      </w:r>
      <w:r w:rsidR="003D1971" w:rsidRPr="003D1971">
        <w:rPr>
          <w:rFonts w:ascii="Gentium Book Basic" w:hAnsi="Gentium Book Basic" w:cs="Arial"/>
          <w:sz w:val="24"/>
          <w:szCs w:val="24"/>
          <w:lang w:bidi="he-IL"/>
        </w:rPr>
        <w:t xml:space="preserve">In 10:1–13, Paul uses the example of Israel in the wilderness. In 10:14–22, Paul uses the example of the Lord’s Supper (which </w:t>
      </w:r>
      <w:r w:rsidR="000C34E5">
        <w:rPr>
          <w:rFonts w:ascii="Gentium Book Basic" w:hAnsi="Gentium Book Basic" w:cs="Arial"/>
          <w:sz w:val="24"/>
          <w:szCs w:val="24"/>
          <w:lang w:bidi="he-IL"/>
        </w:rPr>
        <w:t>will reappear</w:t>
      </w:r>
      <w:r w:rsidR="003D1971" w:rsidRPr="003D1971">
        <w:rPr>
          <w:rFonts w:ascii="Gentium Book Basic" w:hAnsi="Gentium Book Basic" w:cs="Arial"/>
          <w:sz w:val="24"/>
          <w:szCs w:val="24"/>
          <w:lang w:bidi="he-IL"/>
        </w:rPr>
        <w:t xml:space="preserve"> as </w:t>
      </w:r>
      <w:r w:rsidR="000C34E5">
        <w:rPr>
          <w:rFonts w:ascii="Gentium Book Basic" w:hAnsi="Gentium Book Basic" w:cs="Arial"/>
          <w:sz w:val="24"/>
          <w:szCs w:val="24"/>
          <w:lang w:bidi="he-IL"/>
        </w:rPr>
        <w:t>a</w:t>
      </w:r>
      <w:r w:rsidR="003D1971" w:rsidRPr="003D1971">
        <w:rPr>
          <w:rFonts w:ascii="Gentium Book Basic" w:hAnsi="Gentium Book Basic" w:cs="Arial"/>
          <w:sz w:val="24"/>
          <w:szCs w:val="24"/>
          <w:lang w:bidi="he-IL"/>
        </w:rPr>
        <w:t xml:space="preserve"> topic of discussion</w:t>
      </w:r>
      <w:r w:rsidR="000C34E5">
        <w:rPr>
          <w:rFonts w:ascii="Gentium Book Basic" w:hAnsi="Gentium Book Basic" w:cs="Arial"/>
          <w:sz w:val="24"/>
          <w:szCs w:val="24"/>
          <w:lang w:bidi="he-IL"/>
        </w:rPr>
        <w:t xml:space="preserve"> in chapter 11</w:t>
      </w:r>
      <w:r w:rsidR="003D1971" w:rsidRPr="003D1971">
        <w:rPr>
          <w:rFonts w:ascii="Gentium Book Basic" w:hAnsi="Gentium Book Basic" w:cs="Arial"/>
          <w:sz w:val="24"/>
          <w:szCs w:val="24"/>
          <w:lang w:bidi="he-IL"/>
        </w:rPr>
        <w:t>).</w:t>
      </w:r>
      <w:r w:rsidR="003D1971">
        <w:rPr>
          <w:rFonts w:ascii="Gentium Book Basic" w:hAnsi="Gentium Book Basic" w:cs="Arial"/>
          <w:sz w:val="24"/>
          <w:szCs w:val="24"/>
          <w:lang w:bidi="he-IL"/>
        </w:rPr>
        <w:t xml:space="preserve"> Arguing from both these examples that the Christian should not knowingly eat food that was offered to idols, Paul then gives practical admon</w:t>
      </w:r>
      <w:r w:rsidR="000C34E5">
        <w:rPr>
          <w:rFonts w:ascii="Gentium Book Basic" w:hAnsi="Gentium Book Basic" w:cs="Arial"/>
          <w:sz w:val="24"/>
          <w:szCs w:val="24"/>
          <w:lang w:bidi="he-IL"/>
        </w:rPr>
        <w:softHyphen/>
      </w:r>
      <w:r w:rsidR="003D1971">
        <w:rPr>
          <w:rFonts w:ascii="Gentium Book Basic" w:hAnsi="Gentium Book Basic" w:cs="Arial"/>
          <w:sz w:val="24"/>
          <w:szCs w:val="24"/>
          <w:lang w:bidi="he-IL"/>
        </w:rPr>
        <w:t xml:space="preserve">itions for dealing with the issue in 10:23–11:1. </w:t>
      </w:r>
    </w:p>
    <w:p w:rsidR="00C71986" w:rsidRPr="0013593A" w:rsidRDefault="00C71986" w:rsidP="00E75EAF">
      <w:pPr>
        <w:spacing w:after="120" w:line="276" w:lineRule="auto"/>
        <w:rPr>
          <w:rFonts w:ascii="Gentium Book Basic" w:hAnsi="Gentium Book Basic" w:cs="Arial"/>
          <w:sz w:val="24"/>
          <w:szCs w:val="24"/>
          <w:lang w:bidi="he-IL"/>
        </w:rPr>
      </w:pPr>
    </w:p>
    <w:p w:rsidR="00774AC2" w:rsidRDefault="00774AC2" w:rsidP="0013593A">
      <w:pPr>
        <w:spacing w:before="240" w:after="240" w:line="276" w:lineRule="auto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>Abbreviated Outline</w:t>
      </w:r>
      <w:r w:rsidR="00EB1A10" w:rsidRPr="00EB1A10">
        <w:rPr>
          <w:rFonts w:ascii="Gentium Book Basic" w:hAnsi="Gentium Book Basic" w:cs="Arial"/>
          <w:b/>
          <w:bCs/>
          <w:sz w:val="24"/>
          <w:szCs w:val="24"/>
          <w:vertAlign w:val="superscript"/>
          <w:lang w:bidi="he-IL"/>
        </w:rPr>
        <w:footnoteReference w:id="1"/>
      </w:r>
      <w:r w:rsidRPr="00774AC2">
        <w:rPr>
          <w:rFonts w:ascii="Gentium Book Basic" w:hAnsi="Gentium Book Basic" w:cs="Arial"/>
          <w:b/>
          <w:bCs/>
          <w:sz w:val="24"/>
          <w:szCs w:val="24"/>
          <w:lang w:bidi="he-IL"/>
        </w:rPr>
        <w:t xml:space="preserve"> (current passage in bold):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Introduction (1:1-9)</w:t>
      </w:r>
    </w:p>
    <w:p w:rsidR="00774AC2" w:rsidRPr="00192DC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Response to Oral Reports (1:10-6:20)</w:t>
      </w:r>
    </w:p>
    <w:p w:rsidR="00774AC2" w:rsidRPr="00192DC6" w:rsidRDefault="00774AC2" w:rsidP="00F51548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192DC6">
        <w:rPr>
          <w:rFonts w:ascii="Gentium Book Basic" w:hAnsi="Gentium Book Basic" w:cs="Arial"/>
          <w:sz w:val="24"/>
          <w:szCs w:val="24"/>
          <w:lang w:bidi="he-IL"/>
        </w:rPr>
        <w:t>A Proper Perspective on Christian Ministers and Ministry (1:10-4:2</w:t>
      </w:r>
      <w:r w:rsidR="00F51548" w:rsidRPr="00192DC6">
        <w:rPr>
          <w:rFonts w:ascii="Gentium Book Basic" w:hAnsi="Gentium Book Basic" w:cs="Arial"/>
          <w:sz w:val="24"/>
          <w:szCs w:val="24"/>
          <w:lang w:bidi="he-IL"/>
        </w:rPr>
        <w:t>1</w:t>
      </w:r>
      <w:r w:rsidRPr="00192DC6">
        <w:rPr>
          <w:rFonts w:ascii="Gentium Book Basic" w:hAnsi="Gentium Book Basic" w:cs="Arial"/>
          <w:sz w:val="24"/>
          <w:szCs w:val="24"/>
          <w:lang w:bidi="he-IL"/>
        </w:rPr>
        <w:t>)</w:t>
      </w:r>
    </w:p>
    <w:p w:rsidR="00774AC2" w:rsidRPr="00501B44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501B44">
        <w:rPr>
          <w:rFonts w:ascii="Gentium Book Basic" w:hAnsi="Gentium Book Basic" w:cs="Arial"/>
          <w:sz w:val="24"/>
          <w:szCs w:val="24"/>
          <w:lang w:bidi="he-IL"/>
        </w:rPr>
        <w:t>Immorality in the Church (5:1-13)</w:t>
      </w:r>
      <w:r w:rsidR="009335D8">
        <w:rPr>
          <w:rFonts w:ascii="Gentium Book Basic" w:hAnsi="Gentium Book Basic" w:cs="Arial"/>
          <w:sz w:val="24"/>
          <w:szCs w:val="24"/>
          <w:lang w:bidi="he-IL"/>
        </w:rPr>
        <w:t xml:space="preserve"> </w:t>
      </w:r>
      <w:bookmarkStart w:id="0" w:name="_GoBack"/>
      <w:bookmarkEnd w:id="0"/>
    </w:p>
    <w:p w:rsidR="00774AC2" w:rsidRPr="00296541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296541">
        <w:rPr>
          <w:rFonts w:ascii="Gentium Book Basic" w:hAnsi="Gentium Book Basic" w:cs="Arial"/>
          <w:sz w:val="24"/>
          <w:szCs w:val="24"/>
          <w:lang w:bidi="he-IL"/>
        </w:rPr>
        <w:t>Disputes Between Believers (6:1-11)</w:t>
      </w:r>
    </w:p>
    <w:p w:rsidR="00774AC2" w:rsidRPr="00296541" w:rsidRDefault="00774AC2" w:rsidP="00774AC2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296541">
        <w:rPr>
          <w:rFonts w:ascii="Gentium Book Basic" w:hAnsi="Gentium Book Basic" w:cs="Arial"/>
          <w:sz w:val="24"/>
          <w:szCs w:val="24"/>
          <w:lang w:bidi="he-IL"/>
        </w:rPr>
        <w:t>Limitations on Freedom in Christ (6:12-20)</w:t>
      </w:r>
    </w:p>
    <w:p w:rsidR="00774AC2" w:rsidRPr="00E923EF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E923EF">
        <w:rPr>
          <w:rFonts w:ascii="Gentium Book Basic" w:hAnsi="Gentium Book Basic" w:cs="Arial"/>
          <w:sz w:val="24"/>
          <w:szCs w:val="24"/>
          <w:lang w:bidi="he-IL"/>
        </w:rPr>
        <w:t>Responses to a Letter from the Corinthians (7:1-16:4)</w:t>
      </w:r>
    </w:p>
    <w:p w:rsidR="00296541" w:rsidRPr="00306356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 w:rsidRPr="00306356">
        <w:rPr>
          <w:rFonts w:ascii="Gentium Book Basic" w:hAnsi="Gentium Book Basic" w:cs="Arial"/>
          <w:sz w:val="24"/>
          <w:szCs w:val="24"/>
          <w:lang w:bidi="he-IL"/>
        </w:rPr>
        <w:t>Matters related to Sex and Marriage (7:1-40)</w:t>
      </w:r>
    </w:p>
    <w:p w:rsidR="00296541" w:rsidRPr="00306356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306356">
        <w:rPr>
          <w:rFonts w:ascii="Gentium Book Basic" w:hAnsi="Gentium Book Basic" w:cs="Arial"/>
          <w:b/>
          <w:bCs/>
          <w:sz w:val="24"/>
          <w:szCs w:val="24"/>
          <w:lang w:bidi="he-IL"/>
        </w:rPr>
        <w:t>Matters related to Idol Feasts (8:1-11:1)</w:t>
      </w:r>
    </w:p>
    <w:p w:rsidR="00306356" w:rsidRPr="007A23F7" w:rsidRDefault="00306356" w:rsidP="0030635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7A23F7">
        <w:rPr>
          <w:rFonts w:ascii="Gentium Book Basic" w:hAnsi="Gentium Book Basic" w:cs="Arial"/>
          <w:sz w:val="24"/>
          <w:szCs w:val="24"/>
          <w:lang w:bidi="he-IL"/>
        </w:rPr>
        <w:t>Food Offered to Idols (8:1-13)</w:t>
      </w:r>
    </w:p>
    <w:p w:rsidR="00306356" w:rsidRPr="007A23F7" w:rsidRDefault="00306356" w:rsidP="0030635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sz w:val="24"/>
          <w:szCs w:val="24"/>
          <w:lang w:bidi="he-IL"/>
        </w:rPr>
      </w:pPr>
      <w:r w:rsidRPr="007A23F7">
        <w:rPr>
          <w:rFonts w:ascii="Gentium Book Basic" w:hAnsi="Gentium Book Basic" w:cs="Arial"/>
          <w:sz w:val="24"/>
          <w:szCs w:val="24"/>
          <w:lang w:bidi="he-IL"/>
        </w:rPr>
        <w:t>Paul Foregoes Rights of Apostle (9:1-27)</w:t>
      </w:r>
    </w:p>
    <w:p w:rsidR="00306356" w:rsidRPr="007A23F7" w:rsidRDefault="00306356" w:rsidP="00306356">
      <w:pPr>
        <w:pStyle w:val="ListParagraph"/>
        <w:numPr>
          <w:ilvl w:val="2"/>
          <w:numId w:val="9"/>
        </w:numPr>
        <w:spacing w:after="120" w:line="276" w:lineRule="auto"/>
        <w:ind w:left="1440" w:hanging="360"/>
        <w:rPr>
          <w:rFonts w:ascii="Gentium Book Basic" w:hAnsi="Gentium Book Basic" w:cs="Arial"/>
          <w:b/>
          <w:bCs/>
          <w:sz w:val="24"/>
          <w:szCs w:val="24"/>
          <w:lang w:bidi="he-IL"/>
        </w:rPr>
      </w:pPr>
      <w:r w:rsidRPr="007A23F7">
        <w:rPr>
          <w:rFonts w:ascii="Gentium Book Basic" w:hAnsi="Gentium Book Basic" w:cs="Arial"/>
          <w:b/>
          <w:bCs/>
          <w:sz w:val="24"/>
          <w:szCs w:val="24"/>
          <w:lang w:bidi="he-IL"/>
        </w:rPr>
        <w:t>Food Offered to Idols (continued; 10:1-11:1)</w:t>
      </w:r>
    </w:p>
    <w:p w:rsidR="00296541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Christian Worship (11:2-34)</w:t>
      </w:r>
    </w:p>
    <w:p w:rsidR="00296541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Spiritual Gifts (12:1-14:40)</w:t>
      </w:r>
    </w:p>
    <w:p w:rsidR="00296541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the Resurrection (15:1-58)</w:t>
      </w:r>
    </w:p>
    <w:p w:rsidR="00296541" w:rsidRDefault="00296541" w:rsidP="00296541">
      <w:pPr>
        <w:pStyle w:val="ListParagraph"/>
        <w:numPr>
          <w:ilvl w:val="1"/>
          <w:numId w:val="9"/>
        </w:numPr>
        <w:spacing w:after="120" w:line="276" w:lineRule="auto"/>
        <w:ind w:left="108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Matters related to the Relief Offering (16:1-4)</w:t>
      </w:r>
    </w:p>
    <w:p w:rsidR="00306356" w:rsidRDefault="00774AC2" w:rsidP="00774AC2">
      <w:pPr>
        <w:pStyle w:val="ListParagraph"/>
        <w:numPr>
          <w:ilvl w:val="0"/>
          <w:numId w:val="9"/>
        </w:numPr>
        <w:spacing w:after="120" w:line="276" w:lineRule="auto"/>
        <w:ind w:left="720" w:hanging="360"/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t>Conclusion (16:5-24)</w:t>
      </w:r>
    </w:p>
    <w:p w:rsidR="00306356" w:rsidRDefault="00306356">
      <w:pPr>
        <w:rPr>
          <w:rFonts w:ascii="Gentium Book Basic" w:hAnsi="Gentium Book Basic" w:cs="Arial"/>
          <w:sz w:val="24"/>
          <w:szCs w:val="24"/>
          <w:lang w:bidi="he-IL"/>
        </w:rPr>
      </w:pPr>
      <w:r>
        <w:rPr>
          <w:rFonts w:ascii="Gentium Book Basic" w:hAnsi="Gentium Book Basic" w:cs="Arial"/>
          <w:sz w:val="24"/>
          <w:szCs w:val="24"/>
          <w:lang w:bidi="he-IL"/>
        </w:rPr>
        <w:br w:type="page"/>
      </w: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A76EF2" w:rsidRDefault="00024A9B" w:rsidP="00024A9B">
      <w:pPr>
        <w:pStyle w:val="Question"/>
      </w:pPr>
      <w:r>
        <w:t>Why is it important that our forefathers in Israel shared a common experience in Christ (10:1–4)?</w:t>
      </w:r>
    </w:p>
    <w:p w:rsidR="00553B2D" w:rsidRDefault="00BD6D18" w:rsidP="00BD6D18">
      <w:pPr>
        <w:pStyle w:val="Lines"/>
        <w:tabs>
          <w:tab w:val="left" w:pos="2550"/>
        </w:tabs>
      </w:pPr>
      <w:r>
        <w:tab/>
      </w:r>
    </w:p>
    <w:p w:rsidR="00192DC6" w:rsidRDefault="00192DC6" w:rsidP="00192DC6">
      <w:pPr>
        <w:pStyle w:val="Lines"/>
      </w:pPr>
    </w:p>
    <w:p w:rsidR="00192DC6" w:rsidRDefault="00192DC6" w:rsidP="00192DC6">
      <w:pPr>
        <w:pStyle w:val="Lines"/>
      </w:pPr>
    </w:p>
    <w:p w:rsidR="00113A6B" w:rsidRDefault="00024A9B" w:rsidP="006715F8">
      <w:pPr>
        <w:pStyle w:val="Question"/>
      </w:pPr>
      <w:r>
        <w:t>What caused God to be displeased with them (10:5)?</w:t>
      </w:r>
    </w:p>
    <w:p w:rsidR="00553B2D" w:rsidRPr="00A76EF2" w:rsidRDefault="00553B2D" w:rsidP="00C43A80">
      <w:pPr>
        <w:pStyle w:val="Lines"/>
        <w:tabs>
          <w:tab w:val="left" w:pos="4245"/>
        </w:tabs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024A9B" w:rsidP="00024A9B">
      <w:pPr>
        <w:pStyle w:val="Question"/>
      </w:pPr>
      <w:r>
        <w:t>What is the relationship between the examples in 10:6–11 and the warning in 10:12–13?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4122A9" w:rsidRDefault="004122A9" w:rsidP="00B675C5">
      <w:pPr>
        <w:pStyle w:val="Lines"/>
      </w:pPr>
    </w:p>
    <w:p w:rsidR="00113A6B" w:rsidRDefault="00024A9B" w:rsidP="00024A9B">
      <w:pPr>
        <w:pStyle w:val="Question"/>
      </w:pPr>
      <w:r>
        <w:t>Why is it important for Paul to emphasize that all believers participate together in Christ through the cup and bread of communion (10:16–17)?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Default="00024A9B" w:rsidP="00024A9B">
      <w:pPr>
        <w:pStyle w:val="Question"/>
      </w:pPr>
      <w:r>
        <w:t>What is Paul saying in 10:18? (You might find 10:19–20 to be helpful.)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024A9B" w:rsidP="00173C80">
      <w:pPr>
        <w:pStyle w:val="Question"/>
      </w:pPr>
      <w:r>
        <w:t>Explain how 10:21–22 reinforces Paul’s conclusion regarding idol meat.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F2507C" w:rsidRDefault="00024A9B" w:rsidP="00EB2238">
      <w:pPr>
        <w:pStyle w:val="Question"/>
      </w:pPr>
      <w:r>
        <w:t xml:space="preserve">In 10:23, Paul </w:t>
      </w:r>
      <w:r w:rsidR="00EB2238">
        <w:t xml:space="preserve">twice </w:t>
      </w:r>
      <w:r>
        <w:t>repeats</w:t>
      </w:r>
      <w:r w:rsidR="008F246F">
        <w:t xml:space="preserve"> </w:t>
      </w:r>
      <w:r>
        <w:t xml:space="preserve">a Corinthian slogan that first appeared in 6:12. </w:t>
      </w:r>
      <w:r w:rsidR="008F246F">
        <w:t>What is that slogan, and what is the principle that Paul defines in his response in 10:23–24?</w:t>
      </w: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B11C81" w:rsidRDefault="00B11C81" w:rsidP="00B11C81">
      <w:pPr>
        <w:pStyle w:val="Lines"/>
      </w:pPr>
    </w:p>
    <w:p w:rsidR="00024A9B" w:rsidRDefault="00AF7C1E" w:rsidP="00AF7C1E">
      <w:pPr>
        <w:pStyle w:val="Question"/>
      </w:pPr>
      <w:r>
        <w:t>How does Paul instruct the “strong” in 10:25–29?</w:t>
      </w:r>
    </w:p>
    <w:p w:rsidR="00024A9B" w:rsidRDefault="00024A9B" w:rsidP="00024A9B">
      <w:pPr>
        <w:pStyle w:val="Lines"/>
      </w:pPr>
    </w:p>
    <w:p w:rsidR="00024A9B" w:rsidRDefault="00024A9B" w:rsidP="00024A9B">
      <w:pPr>
        <w:pStyle w:val="Lines"/>
      </w:pPr>
    </w:p>
    <w:p w:rsidR="00024A9B" w:rsidRDefault="00024A9B" w:rsidP="00024A9B">
      <w:pPr>
        <w:pStyle w:val="Lines"/>
      </w:pPr>
    </w:p>
    <w:p w:rsidR="00024A9B" w:rsidRDefault="00AF7C1E" w:rsidP="00916412">
      <w:pPr>
        <w:pStyle w:val="Question"/>
      </w:pPr>
      <w:r>
        <w:t xml:space="preserve">What kind of behavior would bring glory to God </w:t>
      </w:r>
      <w:r w:rsidR="00916412">
        <w:t xml:space="preserve">in this situation </w:t>
      </w:r>
      <w:r>
        <w:t xml:space="preserve">(10:31)? </w:t>
      </w:r>
    </w:p>
    <w:p w:rsidR="00024A9B" w:rsidRDefault="00024A9B" w:rsidP="00024A9B">
      <w:pPr>
        <w:pStyle w:val="Lines"/>
      </w:pPr>
    </w:p>
    <w:p w:rsidR="00024A9B" w:rsidRDefault="00024A9B" w:rsidP="00024A9B">
      <w:pPr>
        <w:pStyle w:val="Lines"/>
      </w:pPr>
    </w:p>
    <w:p w:rsidR="00024A9B" w:rsidRDefault="00024A9B" w:rsidP="00024A9B">
      <w:pPr>
        <w:pStyle w:val="Lines"/>
      </w:pPr>
    </w:p>
    <w:p w:rsidR="00DD43A7" w:rsidRPr="00A76EF2" w:rsidRDefault="00DD43A7" w:rsidP="00563C16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563C16"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EA4119" w:rsidRDefault="00EA4119" w:rsidP="00A76EF2">
      <w:pPr>
        <w:pStyle w:val="Lines"/>
      </w:pPr>
    </w:p>
    <w:sectPr w:rsidR="00EA4119" w:rsidSect="00B07C77">
      <w:type w:val="continuous"/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B4F" w:rsidRDefault="005F6B4F" w:rsidP="001E73CB">
      <w:r>
        <w:separator/>
      </w:r>
    </w:p>
  </w:endnote>
  <w:endnote w:type="continuationSeparator" w:id="0">
    <w:p w:rsidR="005F6B4F" w:rsidRDefault="005F6B4F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B4F" w:rsidRDefault="005F6B4F" w:rsidP="001E73CB">
      <w:r>
        <w:separator/>
      </w:r>
    </w:p>
  </w:footnote>
  <w:footnote w:type="continuationSeparator" w:id="0">
    <w:p w:rsidR="005F6B4F" w:rsidRDefault="005F6B4F" w:rsidP="001E73CB">
      <w:r>
        <w:continuationSeparator/>
      </w:r>
    </w:p>
  </w:footnote>
  <w:footnote w:id="1">
    <w:p w:rsidR="00EB1A10" w:rsidRDefault="00EB1A10" w:rsidP="00EB1A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B1A10">
        <w:t>The complete outline is available on the Meadowlands Baptist Church websi</w:t>
      </w:r>
      <w:r w:rsidR="007038D4">
        <w:t>te (</w:t>
      </w:r>
      <w:r w:rsidR="007038D4" w:rsidRPr="007038D4">
        <w:t>www.meadowlandsbaptist.ca</w:t>
      </w:r>
      <w:r w:rsidR="007038D4">
        <w:t xml:space="preserve">). </w:t>
      </w:r>
      <w:r w:rsidRPr="006B051C">
        <w:t xml:space="preserve">Adapted from Andreas J. </w:t>
      </w:r>
      <w:proofErr w:type="spellStart"/>
      <w:r w:rsidRPr="006B051C">
        <w:t>Köstenberger</w:t>
      </w:r>
      <w:proofErr w:type="spellEnd"/>
      <w:r w:rsidRPr="006B051C">
        <w:t xml:space="preserve">, L. Scott </w:t>
      </w:r>
      <w:proofErr w:type="spellStart"/>
      <w:r w:rsidRPr="006B051C">
        <w:t>Kellum</w:t>
      </w:r>
      <w:proofErr w:type="spellEnd"/>
      <w:r w:rsidRPr="006B051C">
        <w:t xml:space="preserve">, and Charles L. Quarles, </w:t>
      </w:r>
      <w:proofErr w:type="gramStart"/>
      <w:r w:rsidRPr="006B051C">
        <w:rPr>
          <w:i/>
          <w:iCs/>
        </w:rPr>
        <w:t>The</w:t>
      </w:r>
      <w:proofErr w:type="gramEnd"/>
      <w:r w:rsidRPr="006B051C">
        <w:rPr>
          <w:i/>
          <w:iCs/>
        </w:rPr>
        <w:t xml:space="preserve"> Cradle, The Cross, and The Crown: An Introduction to the New Testament</w:t>
      </w:r>
      <w:r w:rsidRPr="006B051C">
        <w:t xml:space="preserve"> (Nashville, </w:t>
      </w:r>
      <w:proofErr w:type="spellStart"/>
      <w:r w:rsidRPr="006B051C">
        <w:t>Tenn</w:t>
      </w:r>
      <w:proofErr w:type="spellEnd"/>
      <w:r w:rsidRPr="006B051C">
        <w:t>: B &amp; H Academic, 2009), 482–483.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833A50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4A34"/>
    <w:rsid w:val="0001037E"/>
    <w:rsid w:val="0001209D"/>
    <w:rsid w:val="00020DC9"/>
    <w:rsid w:val="0002340E"/>
    <w:rsid w:val="00024A9B"/>
    <w:rsid w:val="00033077"/>
    <w:rsid w:val="00041496"/>
    <w:rsid w:val="00046FF8"/>
    <w:rsid w:val="000518F7"/>
    <w:rsid w:val="0006635C"/>
    <w:rsid w:val="00080D04"/>
    <w:rsid w:val="00081C3C"/>
    <w:rsid w:val="000915FC"/>
    <w:rsid w:val="000B3501"/>
    <w:rsid w:val="000B412F"/>
    <w:rsid w:val="000B4489"/>
    <w:rsid w:val="000B7225"/>
    <w:rsid w:val="000C34E5"/>
    <w:rsid w:val="000D7395"/>
    <w:rsid w:val="000E4666"/>
    <w:rsid w:val="00111C42"/>
    <w:rsid w:val="00113A6B"/>
    <w:rsid w:val="00121DDC"/>
    <w:rsid w:val="00123AD7"/>
    <w:rsid w:val="001317B2"/>
    <w:rsid w:val="001323D8"/>
    <w:rsid w:val="001327C2"/>
    <w:rsid w:val="0013593A"/>
    <w:rsid w:val="00143B24"/>
    <w:rsid w:val="00145BF0"/>
    <w:rsid w:val="001557F3"/>
    <w:rsid w:val="00165B2B"/>
    <w:rsid w:val="0017258D"/>
    <w:rsid w:val="00172FD6"/>
    <w:rsid w:val="00173C80"/>
    <w:rsid w:val="00192DC6"/>
    <w:rsid w:val="00196FCD"/>
    <w:rsid w:val="001B4E86"/>
    <w:rsid w:val="001B6703"/>
    <w:rsid w:val="001D0C8F"/>
    <w:rsid w:val="001D6BDC"/>
    <w:rsid w:val="001E73CB"/>
    <w:rsid w:val="001F2729"/>
    <w:rsid w:val="00213328"/>
    <w:rsid w:val="002163CA"/>
    <w:rsid w:val="00217A70"/>
    <w:rsid w:val="00234F21"/>
    <w:rsid w:val="0024316E"/>
    <w:rsid w:val="00245F23"/>
    <w:rsid w:val="00246524"/>
    <w:rsid w:val="00256633"/>
    <w:rsid w:val="00296541"/>
    <w:rsid w:val="002B2605"/>
    <w:rsid w:val="002E18B7"/>
    <w:rsid w:val="002E6720"/>
    <w:rsid w:val="00306356"/>
    <w:rsid w:val="00322851"/>
    <w:rsid w:val="003426B0"/>
    <w:rsid w:val="0036311A"/>
    <w:rsid w:val="00367F86"/>
    <w:rsid w:val="00382EC9"/>
    <w:rsid w:val="00384BF5"/>
    <w:rsid w:val="003B000B"/>
    <w:rsid w:val="003B3CA7"/>
    <w:rsid w:val="003B65BD"/>
    <w:rsid w:val="003D036B"/>
    <w:rsid w:val="003D1971"/>
    <w:rsid w:val="003D405C"/>
    <w:rsid w:val="003E188A"/>
    <w:rsid w:val="003E4773"/>
    <w:rsid w:val="003E5D5E"/>
    <w:rsid w:val="003E6E7F"/>
    <w:rsid w:val="003F5F5C"/>
    <w:rsid w:val="003F7CB9"/>
    <w:rsid w:val="004100D6"/>
    <w:rsid w:val="00410CF6"/>
    <w:rsid w:val="00411B1B"/>
    <w:rsid w:val="004122A9"/>
    <w:rsid w:val="004334DD"/>
    <w:rsid w:val="004578C8"/>
    <w:rsid w:val="004824FF"/>
    <w:rsid w:val="004857A9"/>
    <w:rsid w:val="00494592"/>
    <w:rsid w:val="004B0723"/>
    <w:rsid w:val="004C21B4"/>
    <w:rsid w:val="004D7F28"/>
    <w:rsid w:val="004F421C"/>
    <w:rsid w:val="004F65A2"/>
    <w:rsid w:val="00501B44"/>
    <w:rsid w:val="0050641E"/>
    <w:rsid w:val="00514C76"/>
    <w:rsid w:val="00521A40"/>
    <w:rsid w:val="00553B2D"/>
    <w:rsid w:val="00563C16"/>
    <w:rsid w:val="0057434D"/>
    <w:rsid w:val="005958D3"/>
    <w:rsid w:val="005A396E"/>
    <w:rsid w:val="005A5E41"/>
    <w:rsid w:val="005B0A39"/>
    <w:rsid w:val="005C1E9E"/>
    <w:rsid w:val="005C34A9"/>
    <w:rsid w:val="005E1279"/>
    <w:rsid w:val="005F6B4F"/>
    <w:rsid w:val="0060395B"/>
    <w:rsid w:val="0061064D"/>
    <w:rsid w:val="006314FC"/>
    <w:rsid w:val="006320B5"/>
    <w:rsid w:val="006355F9"/>
    <w:rsid w:val="0063686E"/>
    <w:rsid w:val="0063775B"/>
    <w:rsid w:val="00670FF0"/>
    <w:rsid w:val="006715F8"/>
    <w:rsid w:val="00683A69"/>
    <w:rsid w:val="006A517C"/>
    <w:rsid w:val="006B051C"/>
    <w:rsid w:val="006D0272"/>
    <w:rsid w:val="006D666F"/>
    <w:rsid w:val="006F2297"/>
    <w:rsid w:val="007038D4"/>
    <w:rsid w:val="00705EF9"/>
    <w:rsid w:val="00711050"/>
    <w:rsid w:val="007360B7"/>
    <w:rsid w:val="007526C5"/>
    <w:rsid w:val="0075693E"/>
    <w:rsid w:val="00757B44"/>
    <w:rsid w:val="00762305"/>
    <w:rsid w:val="00774AC2"/>
    <w:rsid w:val="007814BC"/>
    <w:rsid w:val="00786977"/>
    <w:rsid w:val="007A23F7"/>
    <w:rsid w:val="007C20C1"/>
    <w:rsid w:val="007E5680"/>
    <w:rsid w:val="008148F2"/>
    <w:rsid w:val="00821900"/>
    <w:rsid w:val="0083382E"/>
    <w:rsid w:val="00836F7E"/>
    <w:rsid w:val="008403E9"/>
    <w:rsid w:val="0084735C"/>
    <w:rsid w:val="0085179F"/>
    <w:rsid w:val="00880412"/>
    <w:rsid w:val="00881FB8"/>
    <w:rsid w:val="008835EC"/>
    <w:rsid w:val="0088714D"/>
    <w:rsid w:val="00890FEE"/>
    <w:rsid w:val="008A60A3"/>
    <w:rsid w:val="008A792E"/>
    <w:rsid w:val="008B1F6F"/>
    <w:rsid w:val="008C2FA9"/>
    <w:rsid w:val="008C78F0"/>
    <w:rsid w:val="008D4BA0"/>
    <w:rsid w:val="008E50F2"/>
    <w:rsid w:val="008F1572"/>
    <w:rsid w:val="008F1E7D"/>
    <w:rsid w:val="008F246F"/>
    <w:rsid w:val="008F3B30"/>
    <w:rsid w:val="00916412"/>
    <w:rsid w:val="0091764D"/>
    <w:rsid w:val="00931070"/>
    <w:rsid w:val="009335D8"/>
    <w:rsid w:val="009368FC"/>
    <w:rsid w:val="0093727F"/>
    <w:rsid w:val="00951419"/>
    <w:rsid w:val="00952B78"/>
    <w:rsid w:val="00956523"/>
    <w:rsid w:val="00967837"/>
    <w:rsid w:val="00982091"/>
    <w:rsid w:val="009C4C91"/>
    <w:rsid w:val="009D4EB6"/>
    <w:rsid w:val="009E7EE5"/>
    <w:rsid w:val="009F0DC1"/>
    <w:rsid w:val="009F3608"/>
    <w:rsid w:val="00A12DC5"/>
    <w:rsid w:val="00A13C37"/>
    <w:rsid w:val="00A244A1"/>
    <w:rsid w:val="00A35371"/>
    <w:rsid w:val="00A410BC"/>
    <w:rsid w:val="00A47C95"/>
    <w:rsid w:val="00A508BA"/>
    <w:rsid w:val="00A51795"/>
    <w:rsid w:val="00A605BB"/>
    <w:rsid w:val="00A6140A"/>
    <w:rsid w:val="00A76EF2"/>
    <w:rsid w:val="00A876AC"/>
    <w:rsid w:val="00A905E6"/>
    <w:rsid w:val="00A9674C"/>
    <w:rsid w:val="00AA01B1"/>
    <w:rsid w:val="00AD42F1"/>
    <w:rsid w:val="00AF21F1"/>
    <w:rsid w:val="00AF7C1E"/>
    <w:rsid w:val="00B06A1E"/>
    <w:rsid w:val="00B07479"/>
    <w:rsid w:val="00B07C77"/>
    <w:rsid w:val="00B11C81"/>
    <w:rsid w:val="00B12E85"/>
    <w:rsid w:val="00B22DA0"/>
    <w:rsid w:val="00B40704"/>
    <w:rsid w:val="00B433F7"/>
    <w:rsid w:val="00B47CFB"/>
    <w:rsid w:val="00B55BE0"/>
    <w:rsid w:val="00B60664"/>
    <w:rsid w:val="00B63A57"/>
    <w:rsid w:val="00B675C5"/>
    <w:rsid w:val="00B77F79"/>
    <w:rsid w:val="00B80397"/>
    <w:rsid w:val="00B820CE"/>
    <w:rsid w:val="00B92293"/>
    <w:rsid w:val="00BA3D35"/>
    <w:rsid w:val="00BA6118"/>
    <w:rsid w:val="00BC5FBC"/>
    <w:rsid w:val="00BD0810"/>
    <w:rsid w:val="00BD60BD"/>
    <w:rsid w:val="00BD6D18"/>
    <w:rsid w:val="00BE24C6"/>
    <w:rsid w:val="00BF6038"/>
    <w:rsid w:val="00BF6404"/>
    <w:rsid w:val="00BF7E09"/>
    <w:rsid w:val="00C072DE"/>
    <w:rsid w:val="00C27A75"/>
    <w:rsid w:val="00C35605"/>
    <w:rsid w:val="00C43A80"/>
    <w:rsid w:val="00C54F35"/>
    <w:rsid w:val="00C65413"/>
    <w:rsid w:val="00C71986"/>
    <w:rsid w:val="00C73DAC"/>
    <w:rsid w:val="00C76D6C"/>
    <w:rsid w:val="00C84C0A"/>
    <w:rsid w:val="00CB7ADD"/>
    <w:rsid w:val="00CC176E"/>
    <w:rsid w:val="00CD253A"/>
    <w:rsid w:val="00CE1C6A"/>
    <w:rsid w:val="00D12B7F"/>
    <w:rsid w:val="00D24B09"/>
    <w:rsid w:val="00D55BF1"/>
    <w:rsid w:val="00D65A55"/>
    <w:rsid w:val="00D80BBA"/>
    <w:rsid w:val="00D83714"/>
    <w:rsid w:val="00D913B1"/>
    <w:rsid w:val="00D95EB1"/>
    <w:rsid w:val="00DA598D"/>
    <w:rsid w:val="00DA5F6E"/>
    <w:rsid w:val="00DB1292"/>
    <w:rsid w:val="00DC32D5"/>
    <w:rsid w:val="00DD2F28"/>
    <w:rsid w:val="00DD43A7"/>
    <w:rsid w:val="00DD78D6"/>
    <w:rsid w:val="00DF3836"/>
    <w:rsid w:val="00E059CE"/>
    <w:rsid w:val="00E13B9E"/>
    <w:rsid w:val="00E16235"/>
    <w:rsid w:val="00E16C69"/>
    <w:rsid w:val="00E3533D"/>
    <w:rsid w:val="00E3712D"/>
    <w:rsid w:val="00E444CA"/>
    <w:rsid w:val="00E542D0"/>
    <w:rsid w:val="00E75EAF"/>
    <w:rsid w:val="00E76E4A"/>
    <w:rsid w:val="00E778FC"/>
    <w:rsid w:val="00E9190B"/>
    <w:rsid w:val="00E9195C"/>
    <w:rsid w:val="00E923EF"/>
    <w:rsid w:val="00E92A91"/>
    <w:rsid w:val="00EA167B"/>
    <w:rsid w:val="00EA4119"/>
    <w:rsid w:val="00EB1A10"/>
    <w:rsid w:val="00EB2238"/>
    <w:rsid w:val="00EB22FE"/>
    <w:rsid w:val="00EB55B6"/>
    <w:rsid w:val="00EC00CD"/>
    <w:rsid w:val="00EC4AF3"/>
    <w:rsid w:val="00EF5189"/>
    <w:rsid w:val="00F1203C"/>
    <w:rsid w:val="00F12A67"/>
    <w:rsid w:val="00F22F9C"/>
    <w:rsid w:val="00F2507C"/>
    <w:rsid w:val="00F34E70"/>
    <w:rsid w:val="00F51548"/>
    <w:rsid w:val="00F56CA0"/>
    <w:rsid w:val="00F5755C"/>
    <w:rsid w:val="00F7775A"/>
    <w:rsid w:val="00FA7564"/>
    <w:rsid w:val="00FB0F66"/>
    <w:rsid w:val="00FC7C08"/>
    <w:rsid w:val="00FD2B43"/>
    <w:rsid w:val="00FD52C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74AC2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4AC2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1A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FFC617F1-A553-4CCA-961B-8059BCA67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Meg Johnson</cp:lastModifiedBy>
  <cp:revision>10</cp:revision>
  <cp:lastPrinted>2014-02-14T22:39:00Z</cp:lastPrinted>
  <dcterms:created xsi:type="dcterms:W3CDTF">2014-02-14T20:54:00Z</dcterms:created>
  <dcterms:modified xsi:type="dcterms:W3CDTF">2014-02-23T03:57:00Z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zotero-version="4.0.17.1"&gt;&lt;session id="CK5ssEVB"/&gt;&lt;style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