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44569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D13A76">
        <w:rPr>
          <w:rFonts w:ascii="Gentium Book Basic" w:hAnsi="Gentium Book Basic" w:cs="Times New Roman"/>
          <w:b/>
          <w:sz w:val="28"/>
          <w:szCs w:val="28"/>
        </w:rPr>
        <w:t>1</w:t>
      </w:r>
      <w:r w:rsidR="00445697">
        <w:rPr>
          <w:rFonts w:ascii="Gentium Book Basic" w:hAnsi="Gentium Book Basic" w:cs="Times New Roman"/>
          <w:b/>
          <w:sz w:val="28"/>
          <w:szCs w:val="28"/>
        </w:rPr>
        <w:t>1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D13A76">
        <w:rPr>
          <w:rFonts w:ascii="Gentium Book Basic" w:hAnsi="Gentium Book Basic" w:cs="Times New Roman"/>
          <w:b/>
          <w:sz w:val="28"/>
          <w:szCs w:val="28"/>
        </w:rPr>
        <w:t>1</w:t>
      </w:r>
      <w:r w:rsidR="00445697">
        <w:rPr>
          <w:rFonts w:ascii="Gentium Book Basic" w:hAnsi="Gentium Book Basic" w:cs="Times New Roman"/>
          <w:b/>
          <w:sz w:val="28"/>
          <w:szCs w:val="28"/>
        </w:rPr>
        <w:t>4</w:t>
      </w:r>
      <w:r w:rsidR="00D13A76">
        <w:rPr>
          <w:rFonts w:ascii="Gentium Book Basic" w:hAnsi="Gentium Book Basic" w:cs="Times New Roman"/>
          <w:b/>
          <w:sz w:val="28"/>
          <w:szCs w:val="28"/>
        </w:rPr>
        <w:t>:1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445697">
        <w:rPr>
          <w:rFonts w:ascii="Gentium Book Basic" w:hAnsi="Gentium Book Basic" w:cs="Times New Roman"/>
          <w:b/>
          <w:sz w:val="28"/>
          <w:szCs w:val="28"/>
        </w:rPr>
        <w:t>40</w:t>
      </w:r>
    </w:p>
    <w:p w:rsidR="006F532C" w:rsidRDefault="006320B5" w:rsidP="00704C2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6F532C">
        <w:rPr>
          <w:rFonts w:ascii="Gentium Book Basic" w:hAnsi="Gentium Book Basic" w:cs="Arial"/>
          <w:sz w:val="24"/>
          <w:szCs w:val="24"/>
          <w:lang w:bidi="he-IL"/>
        </w:rPr>
        <w:t xml:space="preserve">Chapter 14 draws Paul’s discussion on the matter of spiritual gifts to a close. </w:t>
      </w:r>
      <w:r w:rsidR="00115925">
        <w:rPr>
          <w:rFonts w:ascii="Gentium Book Basic" w:hAnsi="Gentium Book Basic" w:cs="Arial"/>
          <w:sz w:val="24"/>
          <w:szCs w:val="24"/>
          <w:lang w:bidi="he-IL"/>
        </w:rPr>
        <w:t>Once again</w:t>
      </w:r>
      <w:r w:rsidR="006F532C">
        <w:rPr>
          <w:rFonts w:ascii="Gentium Book Basic" w:hAnsi="Gentium Book Basic" w:cs="Arial"/>
          <w:sz w:val="24"/>
          <w:szCs w:val="24"/>
          <w:lang w:bidi="he-IL"/>
        </w:rPr>
        <w:t>, Paul</w:t>
      </w:r>
      <w:r w:rsidR="00115925">
        <w:rPr>
          <w:rFonts w:ascii="Gentium Book Basic" w:hAnsi="Gentium Book Basic" w:cs="Arial"/>
          <w:sz w:val="24"/>
          <w:szCs w:val="24"/>
          <w:lang w:bidi="he-IL"/>
        </w:rPr>
        <w:t>’s</w:t>
      </w:r>
      <w:r w:rsidR="006F532C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115925">
        <w:rPr>
          <w:rFonts w:ascii="Gentium Book Basic" w:hAnsi="Gentium Book Basic" w:cs="Arial"/>
          <w:sz w:val="24"/>
          <w:szCs w:val="24"/>
          <w:lang w:bidi="he-IL"/>
        </w:rPr>
        <w:t xml:space="preserve">conclusion </w:t>
      </w:r>
      <w:r w:rsidR="006F532C">
        <w:rPr>
          <w:rFonts w:ascii="Gentium Book Basic" w:hAnsi="Gentium Book Basic" w:cs="Arial"/>
          <w:sz w:val="24"/>
          <w:szCs w:val="24"/>
          <w:lang w:bidi="he-IL"/>
        </w:rPr>
        <w:t>focuses on practical application</w:t>
      </w:r>
      <w:r w:rsidR="00115925">
        <w:rPr>
          <w:rFonts w:ascii="Gentium Book Basic" w:hAnsi="Gentium Book Basic" w:cs="Arial"/>
          <w:sz w:val="24"/>
          <w:szCs w:val="24"/>
          <w:lang w:bidi="he-IL"/>
        </w:rPr>
        <w:t>. Paul’s applications in this chapter fit under two broad headings: a) the need for intelligibility (14:1–25), and b) the need for order (14:26–40).</w:t>
      </w:r>
    </w:p>
    <w:p w:rsidR="00115925" w:rsidRDefault="00312553" w:rsidP="0033581F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A key point for understanding this chapter is to identify the first-century gift of tongues as the </w:t>
      </w:r>
      <w:r w:rsidR="00ED3E98">
        <w:rPr>
          <w:rFonts w:ascii="Gentium Book Basic" w:hAnsi="Gentium Book Basic" w:cs="Arial"/>
          <w:sz w:val="24"/>
          <w:szCs w:val="24"/>
          <w:lang w:bidi="he-IL"/>
        </w:rPr>
        <w:t>Spirit</w:t>
      </w:r>
      <w:r w:rsidR="00ED3E98">
        <w:rPr>
          <w:rFonts w:ascii="Gentium Book Basic" w:hAnsi="Gentium Book Basic" w:cs="Arial"/>
          <w:sz w:val="24"/>
          <w:szCs w:val="24"/>
          <w:lang w:bidi="he-IL"/>
        </w:rPr>
        <w:t xml:space="preserve">-given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ability to speak </w:t>
      </w:r>
      <w:r w:rsidR="00ED3E98">
        <w:rPr>
          <w:rFonts w:ascii="Gentium Book Basic" w:hAnsi="Gentium Book Basic" w:cs="Arial"/>
          <w:sz w:val="24"/>
          <w:szCs w:val="24"/>
          <w:lang w:bidi="he-IL"/>
        </w:rPr>
        <w:t>in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(previously unstudied) foreign human languages. This provides the most natural reading of 14:9–11 and 14:22–25. </w:t>
      </w:r>
      <w:r w:rsidR="00C17785">
        <w:rPr>
          <w:rFonts w:ascii="Gentium Book Basic" w:hAnsi="Gentium Book Basic" w:cs="Arial"/>
          <w:sz w:val="24"/>
          <w:szCs w:val="24"/>
          <w:lang w:bidi="he-IL"/>
        </w:rPr>
        <w:t xml:space="preserve">Although this definition is </w:t>
      </w:r>
      <w:r w:rsidR="0033581F">
        <w:rPr>
          <w:rFonts w:ascii="Gentium Book Basic" w:hAnsi="Gentium Book Basic" w:cs="Arial"/>
          <w:sz w:val="24"/>
          <w:szCs w:val="24"/>
          <w:lang w:bidi="he-IL"/>
        </w:rPr>
        <w:t>un</w:t>
      </w:r>
      <w:r w:rsidR="00C17785">
        <w:rPr>
          <w:rFonts w:ascii="Gentium Book Basic" w:hAnsi="Gentium Book Basic" w:cs="Arial"/>
          <w:sz w:val="24"/>
          <w:szCs w:val="24"/>
          <w:lang w:bidi="he-IL"/>
        </w:rPr>
        <w:t xml:space="preserve">common within the modern Charismatic movement, it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corresponds with </w:t>
      </w:r>
      <w:r w:rsidR="0033581F">
        <w:rPr>
          <w:rFonts w:ascii="Gentium Book Basic" w:hAnsi="Gentium Book Basic" w:cs="Arial"/>
          <w:sz w:val="24"/>
          <w:szCs w:val="24"/>
          <w:lang w:bidi="he-IL"/>
        </w:rPr>
        <w:t>the practice</w:t>
      </w:r>
      <w:r w:rsidR="00C17785">
        <w:rPr>
          <w:rFonts w:ascii="Gentium Book Basic" w:hAnsi="Gentium Book Basic" w:cs="Arial"/>
          <w:sz w:val="24"/>
          <w:szCs w:val="24"/>
          <w:lang w:bidi="he-IL"/>
        </w:rPr>
        <w:t xml:space="preserve"> of tongues in the </w:t>
      </w:r>
      <w:r w:rsidR="0033581F">
        <w:rPr>
          <w:rFonts w:ascii="Gentium Book Basic" w:hAnsi="Gentium Book Basic" w:cs="Arial"/>
          <w:sz w:val="24"/>
          <w:szCs w:val="24"/>
          <w:lang w:bidi="he-IL"/>
        </w:rPr>
        <w:t xml:space="preserve">New Testament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church and historical evidence from the writings of </w:t>
      </w:r>
      <w:r w:rsidR="00C17785">
        <w:rPr>
          <w:rFonts w:ascii="Gentium Book Basic" w:hAnsi="Gentium Book Basic" w:cs="Arial"/>
          <w:sz w:val="24"/>
          <w:szCs w:val="24"/>
          <w:lang w:bidi="he-IL"/>
        </w:rPr>
        <w:t>ancient Christians.</w:t>
      </w:r>
      <w:r w:rsidR="00C17785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</w:p>
    <w:p w:rsidR="00972167" w:rsidRDefault="00972167" w:rsidP="00C17785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802454">
      <w:pPr>
        <w:spacing w:before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2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Pr="00192DC6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(1:10-4:2</w:t>
      </w:r>
      <w:r w:rsidR="00F51548" w:rsidRPr="00192DC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192DC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Pr="00E923EF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E923EF"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296541" w:rsidRPr="0030635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sz w:val="24"/>
          <w:szCs w:val="24"/>
          <w:lang w:bidi="he-IL"/>
        </w:rPr>
        <w:t>Matters related to Sex and Marriage (7:1-40)</w:t>
      </w:r>
    </w:p>
    <w:p w:rsidR="00296541" w:rsidRPr="00377DD0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77DD0">
        <w:rPr>
          <w:rFonts w:ascii="Gentium Book Basic" w:hAnsi="Gentium Book Basic" w:cs="Arial"/>
          <w:sz w:val="24"/>
          <w:szCs w:val="24"/>
          <w:lang w:bidi="he-IL"/>
        </w:rPr>
        <w:t>Matters related to Idol Feasts (8:1-11:1)</w:t>
      </w:r>
    </w:p>
    <w:p w:rsidR="00296541" w:rsidRPr="00D13A76" w:rsidRDefault="00296541" w:rsidP="00377DD0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D13A76">
        <w:rPr>
          <w:rFonts w:ascii="Gentium Book Basic" w:hAnsi="Gentium Book Basic" w:cs="Arial"/>
          <w:sz w:val="24"/>
          <w:szCs w:val="24"/>
          <w:lang w:bidi="he-IL"/>
        </w:rPr>
        <w:t>Matters related to Christian Worship (11:2-34)</w:t>
      </w:r>
    </w:p>
    <w:p w:rsidR="00296541" w:rsidRPr="00D13A7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D13A76">
        <w:rPr>
          <w:rFonts w:ascii="Gentium Book Basic" w:hAnsi="Gentium Book Basic" w:cs="Arial"/>
          <w:b/>
          <w:bCs/>
          <w:sz w:val="24"/>
          <w:szCs w:val="24"/>
          <w:lang w:bidi="he-IL"/>
        </w:rPr>
        <w:t>Matters related to Spiritual Gifts (12:1-14:40)</w:t>
      </w:r>
    </w:p>
    <w:p w:rsidR="00D13A76" w:rsidRPr="00445697" w:rsidRDefault="00D13A76" w:rsidP="00D13A7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445697">
        <w:rPr>
          <w:rFonts w:ascii="Gentium Book Basic" w:hAnsi="Gentium Book Basic" w:cs="Arial"/>
          <w:sz w:val="24"/>
          <w:szCs w:val="24"/>
          <w:lang w:bidi="he-IL"/>
        </w:rPr>
        <w:t>Diversity of Gifts, Unity in the Body (12:1-31)</w:t>
      </w:r>
    </w:p>
    <w:p w:rsidR="00D13A76" w:rsidRPr="00445697" w:rsidRDefault="00D13A76" w:rsidP="00D13A7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445697">
        <w:rPr>
          <w:rFonts w:ascii="Gentium Book Basic" w:hAnsi="Gentium Book Basic" w:cs="Arial"/>
          <w:sz w:val="24"/>
          <w:szCs w:val="24"/>
          <w:lang w:bidi="he-IL"/>
        </w:rPr>
        <w:t>The Supremacy of Love (13:1-13)</w:t>
      </w:r>
    </w:p>
    <w:p w:rsidR="00D13A76" w:rsidRPr="00445697" w:rsidRDefault="00D13A76" w:rsidP="00D13A7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445697">
        <w:rPr>
          <w:rFonts w:ascii="Gentium Book Basic" w:hAnsi="Gentium Book Basic" w:cs="Arial"/>
          <w:b/>
          <w:bCs/>
          <w:sz w:val="24"/>
          <w:szCs w:val="24"/>
          <w:lang w:bidi="he-IL"/>
        </w:rPr>
        <w:t>Prophecy and Tongues (14:1-40)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Resurrection (15:1-58)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Relief Offering (16:1-4)</w:t>
      </w:r>
    </w:p>
    <w:p w:rsidR="00115925" w:rsidRDefault="00774AC2" w:rsidP="00802454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115925" w:rsidRDefault="00115925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CA27AF" w:rsidRPr="00A76EF2" w:rsidRDefault="00CA27AF" w:rsidP="00CA27AF">
      <w:pPr>
        <w:pStyle w:val="Question"/>
      </w:pPr>
      <w:r>
        <w:t xml:space="preserve">Complete this phrase, using statements from chapter 14 (include references), “It </w:t>
      </w:r>
      <w:proofErr w:type="gramStart"/>
      <w:r>
        <w:t>is loving</w:t>
      </w:r>
      <w:proofErr w:type="gramEnd"/>
      <w:r>
        <w:t xml:space="preserve"> to build up the entire church by…”</w:t>
      </w:r>
    </w:p>
    <w:p w:rsidR="00553B2D" w:rsidRDefault="00BD6D18" w:rsidP="00BD6D18">
      <w:pPr>
        <w:pStyle w:val="Lines"/>
        <w:tabs>
          <w:tab w:val="left" w:pos="2550"/>
        </w:tabs>
      </w:pPr>
      <w:r>
        <w:tab/>
      </w:r>
    </w:p>
    <w:p w:rsidR="00192DC6" w:rsidRDefault="00192DC6" w:rsidP="00192DC6">
      <w:pPr>
        <w:pStyle w:val="Lines"/>
      </w:pPr>
    </w:p>
    <w:p w:rsidR="00192DC6" w:rsidRDefault="00192DC6" w:rsidP="00192DC6">
      <w:pPr>
        <w:pStyle w:val="Lines"/>
      </w:pPr>
    </w:p>
    <w:p w:rsidR="005B3E74" w:rsidRDefault="005B3E74" w:rsidP="00192DC6">
      <w:pPr>
        <w:pStyle w:val="Lines"/>
      </w:pPr>
    </w:p>
    <w:p w:rsidR="005B3E74" w:rsidRDefault="005B3E74" w:rsidP="00192DC6">
      <w:pPr>
        <w:pStyle w:val="Lines"/>
      </w:pPr>
    </w:p>
    <w:p w:rsidR="00CA27AF" w:rsidRPr="00A76EF2" w:rsidRDefault="00CA27AF" w:rsidP="00CA27AF">
      <w:pPr>
        <w:pStyle w:val="Question"/>
      </w:pPr>
      <w:r w:rsidRPr="00CA27AF">
        <w:t xml:space="preserve">Which is more important </w:t>
      </w:r>
      <w:r>
        <w:t>(</w:t>
      </w:r>
      <w:r w:rsidRPr="00CA27AF">
        <w:t>prophecy or tongues</w:t>
      </w:r>
      <w:r>
        <w:t xml:space="preserve">) </w:t>
      </w:r>
      <w:r w:rsidRPr="00CA27AF">
        <w:t xml:space="preserve">in </w:t>
      </w:r>
      <w:r>
        <w:t>14:</w:t>
      </w:r>
      <w:r w:rsidRPr="00CA27AF">
        <w:t>1</w:t>
      </w:r>
      <w:r>
        <w:t>–</w:t>
      </w:r>
      <w:r w:rsidRPr="00CA27AF">
        <w:t xml:space="preserve">19, </w:t>
      </w:r>
      <w:r>
        <w:t>and why</w:t>
      </w:r>
      <w:r w:rsidRPr="00CA27AF">
        <w:t>?</w:t>
      </w:r>
    </w:p>
    <w:p w:rsidR="00553B2D" w:rsidRDefault="00553B2D" w:rsidP="00C43A80">
      <w:pPr>
        <w:pStyle w:val="Lines"/>
        <w:tabs>
          <w:tab w:val="left" w:pos="4245"/>
        </w:tabs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5B3E74" w:rsidRPr="00A76EF2" w:rsidRDefault="00683572" w:rsidP="007244B1">
      <w:pPr>
        <w:pStyle w:val="Question"/>
      </w:pPr>
      <w:r>
        <w:t>What is the point of Paul’s illustration from musical instruments (14:7–8)</w:t>
      </w:r>
      <w:r w:rsidR="007244B1">
        <w:t>, based on the immediate context</w:t>
      </w:r>
      <w:r>
        <w:t>?</w:t>
      </w:r>
      <w:r w:rsidR="007244B1" w:rsidRPr="00A76EF2">
        <w:t xml:space="preserve"> </w:t>
      </w:r>
    </w:p>
    <w:p w:rsidR="005B3E74" w:rsidRPr="00A76EF2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7244B1" w:rsidRPr="00A76EF2" w:rsidRDefault="007244B1" w:rsidP="005B3E74">
      <w:pPr>
        <w:pStyle w:val="Lines"/>
      </w:pPr>
    </w:p>
    <w:p w:rsidR="00683572" w:rsidRDefault="00683572" w:rsidP="00683572">
      <w:pPr>
        <w:pStyle w:val="Question"/>
      </w:pPr>
      <w:r>
        <w:t>What does Paul mean when he says</w:t>
      </w:r>
      <w:r w:rsidRPr="002F1E59">
        <w:t xml:space="preserve"> </w:t>
      </w:r>
      <w:r>
        <w:t>in 14:14, “if I pray in a tongue, my spirit prays, but my understanding is unfruitful”? [Hint: Consider the nearby context in 14:13–17.]</w:t>
      </w:r>
    </w:p>
    <w:p w:rsidR="00683572" w:rsidRDefault="00683572" w:rsidP="00683572">
      <w:pPr>
        <w:pStyle w:val="Lines"/>
      </w:pPr>
    </w:p>
    <w:p w:rsidR="00683572" w:rsidRDefault="00683572" w:rsidP="00683572">
      <w:pPr>
        <w:pStyle w:val="Lines"/>
      </w:pPr>
    </w:p>
    <w:p w:rsidR="00683572" w:rsidRDefault="00683572" w:rsidP="00683572">
      <w:pPr>
        <w:pStyle w:val="Lines"/>
      </w:pPr>
    </w:p>
    <w:p w:rsidR="005B3E74" w:rsidRDefault="00683572" w:rsidP="00683572">
      <w:pPr>
        <w:pStyle w:val="Question"/>
      </w:pPr>
      <w:r>
        <w:t>Paul quotes Isa. 28:11–12 in 14:21. Based on this quotation, he concludes “tongues are for a sign … to unbelievers” and “prophesying is [a sign to] … those who believe” (14:22). How do tongues and prophecy function as signs?</w:t>
      </w:r>
    </w:p>
    <w:p w:rsidR="005B3E74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5B3E74" w:rsidRDefault="005B3E74" w:rsidP="005B3E74">
      <w:pPr>
        <w:pStyle w:val="Question"/>
      </w:pPr>
      <w:r w:rsidRPr="00CA27AF">
        <w:t>What promotes understanding in the church, according to 20-36?</w:t>
      </w:r>
    </w:p>
    <w:p w:rsidR="005B3E74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CC176E" w:rsidRDefault="005B3E74" w:rsidP="005B3E74">
      <w:pPr>
        <w:pStyle w:val="Question"/>
      </w:pPr>
      <w:r>
        <w:t xml:space="preserve">Summarize Paul’s guidelines for women in 14:34–35. Consider the relationship of this text </w:t>
      </w:r>
      <w:r w:rsidR="00F40529">
        <w:t>with these cross-references: Eph. 5:21–24; Col. 3:18; 1 Tim. 2:11–15; Tit. 2:3–5; 1 Pet. 3:1–6.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F40529" w:rsidRDefault="00F40529" w:rsidP="00A76EF2">
      <w:pPr>
        <w:pStyle w:val="Lines"/>
      </w:pPr>
    </w:p>
    <w:p w:rsidR="00683572" w:rsidRDefault="00683572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5B3E74" w:rsidP="005B3E74">
      <w:pPr>
        <w:pStyle w:val="Question"/>
      </w:pPr>
      <w:r>
        <w:t>Why should someone who claims spiritual wisdom acknowledge Paul’s writings as authoritative (14:37)?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D3E" w:rsidRDefault="007D1D3E" w:rsidP="001E73CB">
      <w:r>
        <w:separator/>
      </w:r>
    </w:p>
  </w:endnote>
  <w:endnote w:type="continuationSeparator" w:id="0">
    <w:p w:rsidR="007D1D3E" w:rsidRDefault="007D1D3E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D3E" w:rsidRDefault="007D1D3E" w:rsidP="001E73CB">
      <w:r>
        <w:separator/>
      </w:r>
    </w:p>
  </w:footnote>
  <w:footnote w:type="continuationSeparator" w:id="0">
    <w:p w:rsidR="007D1D3E" w:rsidRDefault="007D1D3E" w:rsidP="001E73CB">
      <w:r>
        <w:continuationSeparator/>
      </w:r>
    </w:p>
  </w:footnote>
  <w:footnote w:id="1">
    <w:p w:rsidR="00C17785" w:rsidRPr="00C17785" w:rsidRDefault="00C17785" w:rsidP="00E82EFE">
      <w:pPr>
        <w:pStyle w:val="FootnoteText"/>
      </w:pPr>
      <w:r>
        <w:rPr>
          <w:rStyle w:val="FootnoteReference"/>
        </w:rPr>
        <w:footnoteRef/>
      </w:r>
      <w:r>
        <w:t xml:space="preserve"> See quotations from Gregory of </w:t>
      </w:r>
      <w:proofErr w:type="spellStart"/>
      <w:r>
        <w:t>Nazianzus</w:t>
      </w:r>
      <w:proofErr w:type="spellEnd"/>
      <w:r>
        <w:t xml:space="preserve">, </w:t>
      </w:r>
      <w:r w:rsidR="00E82EFE">
        <w:t xml:space="preserve">John Chrysostom, and Augustine in </w:t>
      </w:r>
      <w:bookmarkStart w:id="0" w:name="_GoBack"/>
      <w:bookmarkEnd w:id="0"/>
      <w:r>
        <w:t xml:space="preserve">John MacArthur, </w:t>
      </w:r>
      <w:r>
        <w:rPr>
          <w:i/>
          <w:iCs/>
        </w:rPr>
        <w:t>Strange Fire: The Danger of Offending the Holy Spirit with Counterfeit Worship</w:t>
      </w:r>
      <w:r>
        <w:t xml:space="preserve"> (Nashville: Nelson Books, 2013), 139.</w:t>
      </w:r>
    </w:p>
  </w:footnote>
  <w:footnote w:id="2">
    <w:p w:rsidR="00EB1A10" w:rsidRDefault="00EB1A10" w:rsidP="00C40F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1A10">
        <w:t>The complete outline is available on the Meadowlands Baptist Church websi</w:t>
      </w:r>
      <w:r w:rsidR="007038D4">
        <w:t>te (</w:t>
      </w:r>
      <w:r w:rsidR="007038D4" w:rsidRPr="007038D4">
        <w:t>www.meadowlandsbaptist.ca</w:t>
      </w:r>
      <w:r w:rsidR="007038D4">
        <w:t xml:space="preserve">).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24A9B"/>
    <w:rsid w:val="00033077"/>
    <w:rsid w:val="00041496"/>
    <w:rsid w:val="00046FF8"/>
    <w:rsid w:val="000518F7"/>
    <w:rsid w:val="0006635C"/>
    <w:rsid w:val="00080D04"/>
    <w:rsid w:val="00081C3C"/>
    <w:rsid w:val="000915FC"/>
    <w:rsid w:val="00096803"/>
    <w:rsid w:val="000B3501"/>
    <w:rsid w:val="000B412F"/>
    <w:rsid w:val="000B4489"/>
    <w:rsid w:val="000B7225"/>
    <w:rsid w:val="000C34E5"/>
    <w:rsid w:val="000D7395"/>
    <w:rsid w:val="000E4666"/>
    <w:rsid w:val="00111C42"/>
    <w:rsid w:val="00113A6B"/>
    <w:rsid w:val="00115925"/>
    <w:rsid w:val="00121DDC"/>
    <w:rsid w:val="00123AD7"/>
    <w:rsid w:val="001317B2"/>
    <w:rsid w:val="001323D8"/>
    <w:rsid w:val="001327C2"/>
    <w:rsid w:val="0013593A"/>
    <w:rsid w:val="00143B24"/>
    <w:rsid w:val="00145BF0"/>
    <w:rsid w:val="00150F24"/>
    <w:rsid w:val="001557F3"/>
    <w:rsid w:val="00162A80"/>
    <w:rsid w:val="00165B2B"/>
    <w:rsid w:val="0017258D"/>
    <w:rsid w:val="00172FD6"/>
    <w:rsid w:val="00173C80"/>
    <w:rsid w:val="00190C4B"/>
    <w:rsid w:val="00192DC6"/>
    <w:rsid w:val="00196FCD"/>
    <w:rsid w:val="001B4E86"/>
    <w:rsid w:val="001B6703"/>
    <w:rsid w:val="001D0C8F"/>
    <w:rsid w:val="001D3C2C"/>
    <w:rsid w:val="001D6BDC"/>
    <w:rsid w:val="001E73CB"/>
    <w:rsid w:val="001F2729"/>
    <w:rsid w:val="00213328"/>
    <w:rsid w:val="002163CA"/>
    <w:rsid w:val="00217A70"/>
    <w:rsid w:val="00234F21"/>
    <w:rsid w:val="0024316E"/>
    <w:rsid w:val="00245F23"/>
    <w:rsid w:val="00246524"/>
    <w:rsid w:val="00256633"/>
    <w:rsid w:val="002631C0"/>
    <w:rsid w:val="002836AD"/>
    <w:rsid w:val="00296541"/>
    <w:rsid w:val="002B2605"/>
    <w:rsid w:val="002E18B7"/>
    <w:rsid w:val="002E6720"/>
    <w:rsid w:val="002F1E59"/>
    <w:rsid w:val="00306356"/>
    <w:rsid w:val="00312553"/>
    <w:rsid w:val="00322851"/>
    <w:rsid w:val="0033581F"/>
    <w:rsid w:val="003426B0"/>
    <w:rsid w:val="00360B4E"/>
    <w:rsid w:val="0036311A"/>
    <w:rsid w:val="00367F86"/>
    <w:rsid w:val="00377DD0"/>
    <w:rsid w:val="00382EC9"/>
    <w:rsid w:val="00384BF5"/>
    <w:rsid w:val="003B000B"/>
    <w:rsid w:val="003B3CA7"/>
    <w:rsid w:val="003B65BD"/>
    <w:rsid w:val="003D036B"/>
    <w:rsid w:val="003D1971"/>
    <w:rsid w:val="003D405C"/>
    <w:rsid w:val="003E188A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334DD"/>
    <w:rsid w:val="00445697"/>
    <w:rsid w:val="004578C8"/>
    <w:rsid w:val="004824FF"/>
    <w:rsid w:val="004857A9"/>
    <w:rsid w:val="00494592"/>
    <w:rsid w:val="004B0723"/>
    <w:rsid w:val="004C21B4"/>
    <w:rsid w:val="004D7F28"/>
    <w:rsid w:val="004F421C"/>
    <w:rsid w:val="004F65A2"/>
    <w:rsid w:val="00501B44"/>
    <w:rsid w:val="0050641E"/>
    <w:rsid w:val="005128D3"/>
    <w:rsid w:val="00514C76"/>
    <w:rsid w:val="00521A40"/>
    <w:rsid w:val="00546FA0"/>
    <w:rsid w:val="00553B2D"/>
    <w:rsid w:val="00563C16"/>
    <w:rsid w:val="0057434D"/>
    <w:rsid w:val="005958D3"/>
    <w:rsid w:val="005A396E"/>
    <w:rsid w:val="005A5E41"/>
    <w:rsid w:val="005B0A39"/>
    <w:rsid w:val="005B3E74"/>
    <w:rsid w:val="005C1E9E"/>
    <w:rsid w:val="005C34A9"/>
    <w:rsid w:val="005E1279"/>
    <w:rsid w:val="006004FD"/>
    <w:rsid w:val="0060395B"/>
    <w:rsid w:val="0061064D"/>
    <w:rsid w:val="006314FC"/>
    <w:rsid w:val="006320B5"/>
    <w:rsid w:val="006355F9"/>
    <w:rsid w:val="0063686E"/>
    <w:rsid w:val="0063775B"/>
    <w:rsid w:val="006659BF"/>
    <w:rsid w:val="00670FF0"/>
    <w:rsid w:val="006715F8"/>
    <w:rsid w:val="00683572"/>
    <w:rsid w:val="00683A69"/>
    <w:rsid w:val="006A517C"/>
    <w:rsid w:val="006B051C"/>
    <w:rsid w:val="006D0272"/>
    <w:rsid w:val="006D666F"/>
    <w:rsid w:val="006E4D0C"/>
    <w:rsid w:val="006F2297"/>
    <w:rsid w:val="006F532C"/>
    <w:rsid w:val="007038D4"/>
    <w:rsid w:val="00704C2B"/>
    <w:rsid w:val="00705EF9"/>
    <w:rsid w:val="007100ED"/>
    <w:rsid w:val="00711050"/>
    <w:rsid w:val="007244B1"/>
    <w:rsid w:val="00724997"/>
    <w:rsid w:val="007360B7"/>
    <w:rsid w:val="007526C5"/>
    <w:rsid w:val="0075693E"/>
    <w:rsid w:val="00757B44"/>
    <w:rsid w:val="00762305"/>
    <w:rsid w:val="00774AC2"/>
    <w:rsid w:val="007814BC"/>
    <w:rsid w:val="00786977"/>
    <w:rsid w:val="00794183"/>
    <w:rsid w:val="007A23F7"/>
    <w:rsid w:val="007C20C1"/>
    <w:rsid w:val="007D1D3E"/>
    <w:rsid w:val="007E5680"/>
    <w:rsid w:val="007F7651"/>
    <w:rsid w:val="00802454"/>
    <w:rsid w:val="00807283"/>
    <w:rsid w:val="00810678"/>
    <w:rsid w:val="008148F2"/>
    <w:rsid w:val="00820D20"/>
    <w:rsid w:val="00821900"/>
    <w:rsid w:val="0083382E"/>
    <w:rsid w:val="00836F7E"/>
    <w:rsid w:val="008403E9"/>
    <w:rsid w:val="0084735C"/>
    <w:rsid w:val="0085179F"/>
    <w:rsid w:val="00880412"/>
    <w:rsid w:val="00881FB8"/>
    <w:rsid w:val="008835EC"/>
    <w:rsid w:val="0088714D"/>
    <w:rsid w:val="00890FEE"/>
    <w:rsid w:val="008A28AB"/>
    <w:rsid w:val="008A60A3"/>
    <w:rsid w:val="008A792E"/>
    <w:rsid w:val="008A7ED7"/>
    <w:rsid w:val="008B1F6F"/>
    <w:rsid w:val="008B6A76"/>
    <w:rsid w:val="008C2FA9"/>
    <w:rsid w:val="008C78F0"/>
    <w:rsid w:val="008D4BA0"/>
    <w:rsid w:val="008E50F2"/>
    <w:rsid w:val="008F1572"/>
    <w:rsid w:val="008F1E7D"/>
    <w:rsid w:val="008F246F"/>
    <w:rsid w:val="008F3B30"/>
    <w:rsid w:val="009003F8"/>
    <w:rsid w:val="00916412"/>
    <w:rsid w:val="0091764D"/>
    <w:rsid w:val="009237F1"/>
    <w:rsid w:val="00931070"/>
    <w:rsid w:val="00933326"/>
    <w:rsid w:val="009368FC"/>
    <w:rsid w:val="0093727F"/>
    <w:rsid w:val="00951419"/>
    <w:rsid w:val="00952B78"/>
    <w:rsid w:val="00956523"/>
    <w:rsid w:val="00967837"/>
    <w:rsid w:val="00972167"/>
    <w:rsid w:val="00980790"/>
    <w:rsid w:val="00982091"/>
    <w:rsid w:val="00990DDD"/>
    <w:rsid w:val="009C4C91"/>
    <w:rsid w:val="009D4EB6"/>
    <w:rsid w:val="009E7EE5"/>
    <w:rsid w:val="009F0DC1"/>
    <w:rsid w:val="009F3608"/>
    <w:rsid w:val="00A12DC5"/>
    <w:rsid w:val="00A13C37"/>
    <w:rsid w:val="00A244A1"/>
    <w:rsid w:val="00A35371"/>
    <w:rsid w:val="00A410BC"/>
    <w:rsid w:val="00A47C95"/>
    <w:rsid w:val="00A508BA"/>
    <w:rsid w:val="00A51795"/>
    <w:rsid w:val="00A605BB"/>
    <w:rsid w:val="00A6140A"/>
    <w:rsid w:val="00A76EF2"/>
    <w:rsid w:val="00A876AC"/>
    <w:rsid w:val="00A905E6"/>
    <w:rsid w:val="00A92363"/>
    <w:rsid w:val="00A9674C"/>
    <w:rsid w:val="00AA01B1"/>
    <w:rsid w:val="00AD42F1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7CFB"/>
    <w:rsid w:val="00B55BE0"/>
    <w:rsid w:val="00B60664"/>
    <w:rsid w:val="00B63A57"/>
    <w:rsid w:val="00B675C5"/>
    <w:rsid w:val="00B77F79"/>
    <w:rsid w:val="00B80397"/>
    <w:rsid w:val="00B820CE"/>
    <w:rsid w:val="00B92293"/>
    <w:rsid w:val="00BA208F"/>
    <w:rsid w:val="00BA3D35"/>
    <w:rsid w:val="00BA6118"/>
    <w:rsid w:val="00BC5FBC"/>
    <w:rsid w:val="00BD0810"/>
    <w:rsid w:val="00BD5A7D"/>
    <w:rsid w:val="00BD60BD"/>
    <w:rsid w:val="00BD6D18"/>
    <w:rsid w:val="00BE24C6"/>
    <w:rsid w:val="00BF6038"/>
    <w:rsid w:val="00BF6404"/>
    <w:rsid w:val="00BF7E09"/>
    <w:rsid w:val="00C072DE"/>
    <w:rsid w:val="00C076C2"/>
    <w:rsid w:val="00C17785"/>
    <w:rsid w:val="00C27A75"/>
    <w:rsid w:val="00C35605"/>
    <w:rsid w:val="00C40F38"/>
    <w:rsid w:val="00C43A80"/>
    <w:rsid w:val="00C54F35"/>
    <w:rsid w:val="00C65413"/>
    <w:rsid w:val="00C71986"/>
    <w:rsid w:val="00C73DAC"/>
    <w:rsid w:val="00C76D6C"/>
    <w:rsid w:val="00C84C0A"/>
    <w:rsid w:val="00CA27AF"/>
    <w:rsid w:val="00CB7ADD"/>
    <w:rsid w:val="00CC176E"/>
    <w:rsid w:val="00CD253A"/>
    <w:rsid w:val="00CE1C6A"/>
    <w:rsid w:val="00D12B7F"/>
    <w:rsid w:val="00D13A76"/>
    <w:rsid w:val="00D24B09"/>
    <w:rsid w:val="00D55BF1"/>
    <w:rsid w:val="00D65A55"/>
    <w:rsid w:val="00D80BBA"/>
    <w:rsid w:val="00D83714"/>
    <w:rsid w:val="00D913B1"/>
    <w:rsid w:val="00D95EB1"/>
    <w:rsid w:val="00DA598D"/>
    <w:rsid w:val="00DA5F6E"/>
    <w:rsid w:val="00DB1292"/>
    <w:rsid w:val="00DC32D5"/>
    <w:rsid w:val="00DD2F28"/>
    <w:rsid w:val="00DD43A7"/>
    <w:rsid w:val="00DD78D6"/>
    <w:rsid w:val="00DE31E2"/>
    <w:rsid w:val="00DF3836"/>
    <w:rsid w:val="00E059CE"/>
    <w:rsid w:val="00E06FCD"/>
    <w:rsid w:val="00E13B9E"/>
    <w:rsid w:val="00E16235"/>
    <w:rsid w:val="00E16C69"/>
    <w:rsid w:val="00E3533D"/>
    <w:rsid w:val="00E3712D"/>
    <w:rsid w:val="00E444CA"/>
    <w:rsid w:val="00E542D0"/>
    <w:rsid w:val="00E75EAF"/>
    <w:rsid w:val="00E76E4A"/>
    <w:rsid w:val="00E778FC"/>
    <w:rsid w:val="00E82EFE"/>
    <w:rsid w:val="00E9190B"/>
    <w:rsid w:val="00E9195C"/>
    <w:rsid w:val="00E923EF"/>
    <w:rsid w:val="00E92A91"/>
    <w:rsid w:val="00EA167B"/>
    <w:rsid w:val="00EA4119"/>
    <w:rsid w:val="00EB1A10"/>
    <w:rsid w:val="00EB2238"/>
    <w:rsid w:val="00EB22FE"/>
    <w:rsid w:val="00EB55B6"/>
    <w:rsid w:val="00EC00CD"/>
    <w:rsid w:val="00EC4AF3"/>
    <w:rsid w:val="00ED3E98"/>
    <w:rsid w:val="00ED73E1"/>
    <w:rsid w:val="00EF5189"/>
    <w:rsid w:val="00EF7883"/>
    <w:rsid w:val="00F1203C"/>
    <w:rsid w:val="00F12A67"/>
    <w:rsid w:val="00F22F9C"/>
    <w:rsid w:val="00F2507C"/>
    <w:rsid w:val="00F34E70"/>
    <w:rsid w:val="00F40529"/>
    <w:rsid w:val="00F51548"/>
    <w:rsid w:val="00F547A3"/>
    <w:rsid w:val="00F56CA0"/>
    <w:rsid w:val="00F5755C"/>
    <w:rsid w:val="00F7775A"/>
    <w:rsid w:val="00FA7564"/>
    <w:rsid w:val="00FB0F66"/>
    <w:rsid w:val="00FC7C08"/>
    <w:rsid w:val="00FD2B43"/>
    <w:rsid w:val="00FD52C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9174D6A-417F-43CF-8B2D-AD8D8606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11</cp:revision>
  <cp:lastPrinted>2014-03-07T19:12:00Z</cp:lastPrinted>
  <dcterms:created xsi:type="dcterms:W3CDTF">2014-03-04T17:53:00Z</dcterms:created>
  <dcterms:modified xsi:type="dcterms:W3CDTF">2014-03-07T19:12:00Z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id="CK5ssEVB"/&gt;&lt;style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