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FF2C2D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2C2D">
        <w:rPr>
          <w:rFonts w:ascii="Gentium Book Basic" w:hAnsi="Gentium Book Basic" w:cs="Times New Roman"/>
          <w:b/>
          <w:sz w:val="28"/>
          <w:szCs w:val="28"/>
        </w:rPr>
        <w:t>2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FF2C2D">
        <w:rPr>
          <w:rFonts w:ascii="Gentium Book Basic" w:hAnsi="Gentium Book Basic" w:cs="Times New Roman"/>
          <w:b/>
          <w:sz w:val="28"/>
          <w:szCs w:val="28"/>
        </w:rPr>
        <w:t>2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377DD0">
        <w:rPr>
          <w:rFonts w:ascii="Gentium Book Basic" w:hAnsi="Gentium Book Basic" w:cs="Times New Roman"/>
          <w:b/>
          <w:sz w:val="28"/>
          <w:szCs w:val="28"/>
        </w:rPr>
        <w:t>1:</w:t>
      </w:r>
      <w:r w:rsidR="00FF2C2D">
        <w:rPr>
          <w:rFonts w:ascii="Gentium Book Basic" w:hAnsi="Gentium Book Basic" w:cs="Times New Roman"/>
          <w:b/>
          <w:sz w:val="28"/>
          <w:szCs w:val="28"/>
        </w:rPr>
        <w:t>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FF2C2D">
        <w:rPr>
          <w:rFonts w:ascii="Gentium Book Basic" w:hAnsi="Gentium Book Basic" w:cs="Times New Roman"/>
          <w:b/>
          <w:sz w:val="28"/>
          <w:szCs w:val="28"/>
        </w:rPr>
        <w:t>2:11</w:t>
      </w:r>
    </w:p>
    <w:p w:rsidR="00DE6B92" w:rsidRDefault="006320B5" w:rsidP="00BF1962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C71986" w:rsidRDefault="00BF1962" w:rsidP="00BF1962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In the book of 2 Corinthians, Paul again writes to the church at Corinth, though some time after the writing of 1 Corinthians. During the period of time between the writing of these two epistles, it appears that at least some of the Corinthians had begun to question Paul’s authority and personal character.</w:t>
      </w:r>
    </w:p>
    <w:p w:rsidR="00DE6B92" w:rsidRPr="0013593A" w:rsidRDefault="00BF1962" w:rsidP="00DE6B92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As Paul opens this letter to the Corinthian church, he begins by affirming his apostolic authority (1:1–2) and then proceeds to offer a thanksgiving prayer in 1:3–</w:t>
      </w:r>
      <w:r w:rsidR="00B44A61">
        <w:rPr>
          <w:rFonts w:ascii="Gentium Book Basic" w:hAnsi="Gentium Book Basic" w:cs="Arial"/>
          <w:sz w:val="24"/>
          <w:szCs w:val="24"/>
          <w:lang w:bidi="he-IL"/>
        </w:rPr>
        <w:t>11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that </w:t>
      </w:r>
      <w:r w:rsidR="00B44A61">
        <w:rPr>
          <w:rFonts w:ascii="Gentium Book Basic" w:hAnsi="Gentium Book Basic" w:cs="Arial"/>
          <w:sz w:val="24"/>
          <w:szCs w:val="24"/>
          <w:lang w:bidi="he-IL"/>
        </w:rPr>
        <w:t xml:space="preserve">compresses </w:t>
      </w:r>
      <w:r>
        <w:rPr>
          <w:rFonts w:ascii="Gentium Book Basic" w:hAnsi="Gentium Book Basic" w:cs="Arial"/>
          <w:sz w:val="24"/>
          <w:szCs w:val="24"/>
          <w:lang w:bidi="he-IL"/>
        </w:rPr>
        <w:t>many of the the</w:t>
      </w:r>
      <w:r w:rsidR="008308AA">
        <w:rPr>
          <w:rFonts w:ascii="Gentium Book Basic" w:hAnsi="Gentium Book Basic" w:cs="Arial"/>
          <w:sz w:val="24"/>
          <w:szCs w:val="24"/>
          <w:lang w:bidi="he-IL"/>
        </w:rPr>
        <w:t>mes found in chapters 1–7.</w:t>
      </w:r>
      <w:r w:rsidR="00B44A61">
        <w:rPr>
          <w:rFonts w:ascii="Gentium Book Basic" w:hAnsi="Gentium Book Basic" w:cs="Arial"/>
          <w:sz w:val="24"/>
          <w:szCs w:val="24"/>
          <w:lang w:bidi="he-IL"/>
        </w:rPr>
        <w:t xml:space="preserve"> Immediately after the opening formalities, Paul launches into an unusually personal section where he defends himself against the charges of his critics (1:12–2:11). From Paul’s statements in this section, we can glean that the Corinthians apparently questioned his character (1:12–14), possibly due to some change in the apostle’s travel plans (1:15–</w:t>
      </w:r>
      <w:r w:rsidR="00DE6B92">
        <w:rPr>
          <w:rFonts w:ascii="Gentium Book Basic" w:hAnsi="Gentium Book Basic" w:cs="Arial"/>
          <w:sz w:val="24"/>
          <w:szCs w:val="24"/>
          <w:lang w:bidi="he-IL"/>
        </w:rPr>
        <w:t>2:4). Additionally, it appears that there is ongoing disagreement regarding the restoration of a certain individual from the Corinthian church who apparently had been disciplined, but is now repentant (2:5–11). Although some have identified this individual with the incestuous man in 1 Corinthians 5, that identification is somewhat dubious since the individual is not specifically identified in this passage.</w:t>
      </w:r>
    </w:p>
    <w:p w:rsidR="00774AC2" w:rsidRDefault="00774AC2" w:rsidP="0013593A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</w:t>
      </w: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(1:1-11)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Salutation (1:1-2)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Prayer of Thanksgiving (1:3-7)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Explanation of Paul</w:t>
      </w:r>
      <w:r w:rsidR="003E292B">
        <w:rPr>
          <w:rFonts w:ascii="Gentium Book Basic" w:hAnsi="Gentium Book Basic" w:cs="Arial"/>
          <w:b/>
          <w:bCs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s Thanksgiving (1:8-11)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b/>
          <w:bCs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s Relationship with the Corinthians (1:12-2:11)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b/>
          <w:bCs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s Pure Conduct (1:12-14)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b/>
          <w:bCs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s Change in Plans (1:15-22)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The Reason for the Change in Plans (1:23-2:4)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b/>
          <w:bCs/>
          <w:sz w:val="24"/>
          <w:szCs w:val="24"/>
          <w:lang w:bidi="he-IL"/>
        </w:rPr>
        <w:t>Forgiveness to the Repentant Sinner (2:5—11)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Defense of his Ministry (2:12-7:16)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Ministry in Troas and Macedonia (2:12-17)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Letters of Recommendation (3:1</w:t>
      </w:r>
      <w:r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3)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Competence (3:4-6)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Ministry of the New Covenant (3:7-18)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The Unveiled Truth (4:1-6)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Treasure in Clay Jars (4:7-18)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The Coming Resurrection (5:1-10)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The Ministry of Reconciliation (5:11-6:2)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Catalog of 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Sufferings (6:3-13)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Call to Separate from 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Opponents (6:14-7:1)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Final Defense (7:2—16)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The Collection for the Believers in Jerusalem (8:1-9:15)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Renewed Defense of his Apostleship (10:1-13:4)</w:t>
      </w:r>
    </w:p>
    <w:p w:rsidR="00FF2C2D" w:rsidRPr="003E292B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3E292B">
        <w:rPr>
          <w:rFonts w:ascii="Gentium Book Basic" w:hAnsi="Gentium Book Basic" w:cs="Arial"/>
          <w:sz w:val="24"/>
          <w:szCs w:val="24"/>
          <w:lang w:bidi="he-IL"/>
        </w:rPr>
        <w:t>Final Exhortations (13:5-12)</w:t>
      </w:r>
    </w:p>
    <w:p w:rsid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Closing (13:13)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E17007" w:rsidP="002329F5">
      <w:pPr>
        <w:pStyle w:val="Question"/>
      </w:pPr>
      <w:r>
        <w:t xml:space="preserve">Notice how Paul affirms his apostolic status in 1:1, “an apostle of Jesus Christ </w:t>
      </w:r>
      <w:r>
        <w:rPr>
          <w:i/>
          <w:iCs/>
        </w:rPr>
        <w:t>by the will of God</w:t>
      </w:r>
      <w:r>
        <w:t xml:space="preserve">” (emphasis added). Compare Acts 9:15. Why might Paul be emphasizing this aspect of his calling </w:t>
      </w:r>
      <w:r w:rsidR="002329F5">
        <w:t>here</w:t>
      </w:r>
      <w:r>
        <w:t xml:space="preserve">?  </w:t>
      </w:r>
    </w:p>
    <w:p w:rsidR="00553B2D" w:rsidRDefault="00553B2D" w:rsidP="00BD6D18">
      <w:pPr>
        <w:pStyle w:val="Lines"/>
        <w:tabs>
          <w:tab w:val="left" w:pos="2550"/>
        </w:tabs>
      </w:pPr>
    </w:p>
    <w:p w:rsidR="00192DC6" w:rsidRDefault="00192DC6" w:rsidP="00192DC6">
      <w:pPr>
        <w:pStyle w:val="Lines"/>
      </w:pPr>
    </w:p>
    <w:p w:rsidR="00192DC6" w:rsidRDefault="00192DC6" w:rsidP="00192DC6">
      <w:pPr>
        <w:pStyle w:val="Lines"/>
      </w:pPr>
    </w:p>
    <w:p w:rsidR="00DB57F4" w:rsidRDefault="00376A20" w:rsidP="00376A20">
      <w:pPr>
        <w:pStyle w:val="Question"/>
      </w:pPr>
      <w:r>
        <w:t xml:space="preserve">Explain how Paul can say that his “consolation” can abound in the same measure as his “sufferings” do in 1:5. How does the relationship between these two </w:t>
      </w:r>
      <w:r w:rsidR="00B46D05">
        <w:t>experiences explain vv. 3–4?</w:t>
      </w:r>
    </w:p>
    <w:p w:rsidR="00553B2D" w:rsidRPr="00A76EF2" w:rsidRDefault="00553B2D" w:rsidP="00C43A80">
      <w:pPr>
        <w:pStyle w:val="Lines"/>
        <w:tabs>
          <w:tab w:val="left" w:pos="4245"/>
        </w:tabs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DB57F4" w:rsidRPr="006B7627" w:rsidRDefault="00DB57F4" w:rsidP="00DB57F4">
      <w:pPr>
        <w:pStyle w:val="Question"/>
      </w:pPr>
      <w:r w:rsidRPr="006B7627">
        <w:t>Notice the way that Paul alternates between “us” and “you” in 1:3–7. What does Paul share with his audience in 1:7? What is his goal for them?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8A4DE0" w:rsidP="00160882">
      <w:pPr>
        <w:pStyle w:val="Question"/>
      </w:pPr>
      <w:r>
        <w:t xml:space="preserve">Apparently the </w:t>
      </w:r>
      <w:proofErr w:type="gramStart"/>
      <w:r>
        <w:t>Corinthians</w:t>
      </w:r>
      <w:proofErr w:type="gramEnd"/>
      <w:r>
        <w:t xml:space="preserve"> were already aware of the perilous situation Paul describes in 1:8–11. To whom does Paul credit his deliverance (1:10)?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160882" w:rsidP="005A6C9D">
      <w:pPr>
        <w:pStyle w:val="Question"/>
      </w:pPr>
      <w:r>
        <w:t>T</w:t>
      </w:r>
      <w:r>
        <w:t xml:space="preserve">o </w:t>
      </w:r>
      <w:r>
        <w:t>what witness does Paul appeal in his response to the Corinthians’ personal attacks (1:12)?</w:t>
      </w:r>
      <w:r w:rsidR="005A6C9D">
        <w:t xml:space="preserve"> Why is it important for Paul’s writings to clearly express his beliefs and motivations (1:13–14)?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5A6C9D" w:rsidP="00AB057F">
      <w:pPr>
        <w:pStyle w:val="Question"/>
      </w:pPr>
      <w:r>
        <w:t xml:space="preserve">In 1:15–17, Paul describes a change of travel plans and notes some complaints that these </w:t>
      </w:r>
      <w:r w:rsidR="00AB057F">
        <w:t xml:space="preserve">reflected </w:t>
      </w:r>
      <w:r>
        <w:t xml:space="preserve">weakness in </w:t>
      </w:r>
      <w:r w:rsidR="00AB057F">
        <w:t>his own</w:t>
      </w:r>
      <w:bookmarkStart w:id="0" w:name="_GoBack"/>
      <w:bookmarkEnd w:id="0"/>
      <w:r>
        <w:t xml:space="preserve"> character. </w:t>
      </w:r>
      <w:r>
        <w:t>To what witness does Paul appeal</w:t>
      </w:r>
      <w:r>
        <w:t xml:space="preserve"> in v. 18 when he claims that his </w:t>
      </w:r>
      <w:r w:rsidR="00AC2964">
        <w:t>character remains blameless</w:t>
      </w:r>
      <w:r>
        <w:t>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6D4575" w:rsidP="009F3BEC">
      <w:pPr>
        <w:pStyle w:val="Question"/>
      </w:pPr>
      <w:r>
        <w:t xml:space="preserve">To </w:t>
      </w:r>
      <w:proofErr w:type="gramStart"/>
      <w:r>
        <w:t>whom</w:t>
      </w:r>
      <w:proofErr w:type="gramEnd"/>
      <w:r>
        <w:t xml:space="preserve"> does Paul credit true stability, and to what extent does that stability exist (1:21–22)?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024A9B" w:rsidRDefault="00054010" w:rsidP="00054010">
      <w:pPr>
        <w:pStyle w:val="Question"/>
      </w:pPr>
      <w:r>
        <w:t>What is the goal of church discipline, as described in 2:6–7?</w:t>
      </w:r>
    </w:p>
    <w:p w:rsidR="00024A9B" w:rsidRDefault="00024A9B" w:rsidP="00024A9B">
      <w:pPr>
        <w:pStyle w:val="Lines"/>
      </w:pPr>
    </w:p>
    <w:p w:rsidR="00024A9B" w:rsidRDefault="00024A9B" w:rsidP="00024A9B">
      <w:pPr>
        <w:pStyle w:val="Lines"/>
      </w:pPr>
    </w:p>
    <w:p w:rsidR="00024A9B" w:rsidRDefault="00024A9B" w:rsidP="00024A9B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E8" w:rsidRDefault="006431E8" w:rsidP="001E73CB">
      <w:r>
        <w:separator/>
      </w:r>
    </w:p>
  </w:endnote>
  <w:endnote w:type="continuationSeparator" w:id="0">
    <w:p w:rsidR="006431E8" w:rsidRDefault="006431E8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E8" w:rsidRDefault="006431E8" w:rsidP="001E73CB">
      <w:r>
        <w:separator/>
      </w:r>
    </w:p>
  </w:footnote>
  <w:footnote w:type="continuationSeparator" w:id="0">
    <w:p w:rsidR="006431E8" w:rsidRDefault="006431E8" w:rsidP="001E73CB">
      <w:r>
        <w:continuationSeparator/>
      </w:r>
    </w:p>
  </w:footnote>
  <w:footnote w:id="1">
    <w:p w:rsidR="00EB1A10" w:rsidRDefault="00EB1A10" w:rsidP="00FD50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="00FD50E7">
        <w:t>: B &amp; H Academic, 2009), 484</w:t>
      </w:r>
      <w:r w:rsidRPr="006B051C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24A9B"/>
    <w:rsid w:val="00033077"/>
    <w:rsid w:val="00041496"/>
    <w:rsid w:val="00046FF8"/>
    <w:rsid w:val="000518F7"/>
    <w:rsid w:val="00054010"/>
    <w:rsid w:val="0006635C"/>
    <w:rsid w:val="00080D04"/>
    <w:rsid w:val="00081C3C"/>
    <w:rsid w:val="000915FC"/>
    <w:rsid w:val="00096803"/>
    <w:rsid w:val="000B3501"/>
    <w:rsid w:val="000B412F"/>
    <w:rsid w:val="000B4489"/>
    <w:rsid w:val="000B7225"/>
    <w:rsid w:val="000C34E5"/>
    <w:rsid w:val="000D7395"/>
    <w:rsid w:val="000E4666"/>
    <w:rsid w:val="00111C42"/>
    <w:rsid w:val="00113A6B"/>
    <w:rsid w:val="00117C08"/>
    <w:rsid w:val="00121DDC"/>
    <w:rsid w:val="00123AD7"/>
    <w:rsid w:val="001317B2"/>
    <w:rsid w:val="001323D8"/>
    <w:rsid w:val="001327C2"/>
    <w:rsid w:val="0013593A"/>
    <w:rsid w:val="00143B24"/>
    <w:rsid w:val="00145BF0"/>
    <w:rsid w:val="001557F3"/>
    <w:rsid w:val="00160882"/>
    <w:rsid w:val="00162A80"/>
    <w:rsid w:val="00165B2B"/>
    <w:rsid w:val="0017258D"/>
    <w:rsid w:val="00172FD6"/>
    <w:rsid w:val="00173C80"/>
    <w:rsid w:val="00192DC6"/>
    <w:rsid w:val="00196FCD"/>
    <w:rsid w:val="001B4E86"/>
    <w:rsid w:val="001B6703"/>
    <w:rsid w:val="001D0C8F"/>
    <w:rsid w:val="001D6BDC"/>
    <w:rsid w:val="001E73CB"/>
    <w:rsid w:val="001F2729"/>
    <w:rsid w:val="001F4645"/>
    <w:rsid w:val="00213328"/>
    <w:rsid w:val="002163CA"/>
    <w:rsid w:val="00217A70"/>
    <w:rsid w:val="002329F5"/>
    <w:rsid w:val="00234F21"/>
    <w:rsid w:val="0024316E"/>
    <w:rsid w:val="00245F23"/>
    <w:rsid w:val="00246524"/>
    <w:rsid w:val="00256633"/>
    <w:rsid w:val="002631C0"/>
    <w:rsid w:val="00296541"/>
    <w:rsid w:val="002B2605"/>
    <w:rsid w:val="002E18B7"/>
    <w:rsid w:val="002E6720"/>
    <w:rsid w:val="00306356"/>
    <w:rsid w:val="00322851"/>
    <w:rsid w:val="003426B0"/>
    <w:rsid w:val="0036311A"/>
    <w:rsid w:val="00367F86"/>
    <w:rsid w:val="00376A20"/>
    <w:rsid w:val="00377DD0"/>
    <w:rsid w:val="00382EC9"/>
    <w:rsid w:val="00384BF5"/>
    <w:rsid w:val="0038797C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334DD"/>
    <w:rsid w:val="004578C8"/>
    <w:rsid w:val="004824FF"/>
    <w:rsid w:val="004857A9"/>
    <w:rsid w:val="00494592"/>
    <w:rsid w:val="004B0723"/>
    <w:rsid w:val="004C21B4"/>
    <w:rsid w:val="004D7F28"/>
    <w:rsid w:val="004F421C"/>
    <w:rsid w:val="004F65A2"/>
    <w:rsid w:val="00501B44"/>
    <w:rsid w:val="0050641E"/>
    <w:rsid w:val="00514C76"/>
    <w:rsid w:val="00521A40"/>
    <w:rsid w:val="00553B2D"/>
    <w:rsid w:val="00563C16"/>
    <w:rsid w:val="0057434D"/>
    <w:rsid w:val="005958D3"/>
    <w:rsid w:val="005A396E"/>
    <w:rsid w:val="005A5E41"/>
    <w:rsid w:val="005A6C9D"/>
    <w:rsid w:val="005B0A39"/>
    <w:rsid w:val="005C1E9E"/>
    <w:rsid w:val="005C34A9"/>
    <w:rsid w:val="005D722E"/>
    <w:rsid w:val="005E1279"/>
    <w:rsid w:val="006004FD"/>
    <w:rsid w:val="0060395B"/>
    <w:rsid w:val="0061064D"/>
    <w:rsid w:val="006314FC"/>
    <w:rsid w:val="006320B5"/>
    <w:rsid w:val="006355F9"/>
    <w:rsid w:val="0063686E"/>
    <w:rsid w:val="0063775B"/>
    <w:rsid w:val="006431E8"/>
    <w:rsid w:val="006659BF"/>
    <w:rsid w:val="00670FF0"/>
    <w:rsid w:val="006715F8"/>
    <w:rsid w:val="00683A69"/>
    <w:rsid w:val="006A517C"/>
    <w:rsid w:val="006B051C"/>
    <w:rsid w:val="006B7627"/>
    <w:rsid w:val="006D0272"/>
    <w:rsid w:val="006D42CE"/>
    <w:rsid w:val="006D4575"/>
    <w:rsid w:val="006D666F"/>
    <w:rsid w:val="006F2297"/>
    <w:rsid w:val="007038D4"/>
    <w:rsid w:val="00705EF9"/>
    <w:rsid w:val="00711050"/>
    <w:rsid w:val="00724997"/>
    <w:rsid w:val="007360B7"/>
    <w:rsid w:val="007526C5"/>
    <w:rsid w:val="0075693E"/>
    <w:rsid w:val="00757B44"/>
    <w:rsid w:val="00762305"/>
    <w:rsid w:val="00774AC2"/>
    <w:rsid w:val="007814BC"/>
    <w:rsid w:val="00786977"/>
    <w:rsid w:val="00794183"/>
    <w:rsid w:val="007A23F7"/>
    <w:rsid w:val="007C20C1"/>
    <w:rsid w:val="007E5680"/>
    <w:rsid w:val="00810678"/>
    <w:rsid w:val="008148F2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714D"/>
    <w:rsid w:val="00890FEE"/>
    <w:rsid w:val="008A4DE0"/>
    <w:rsid w:val="008A60A3"/>
    <w:rsid w:val="008A792E"/>
    <w:rsid w:val="008B1F6F"/>
    <w:rsid w:val="008C2FA9"/>
    <w:rsid w:val="008C78F0"/>
    <w:rsid w:val="008D4BA0"/>
    <w:rsid w:val="008E50F2"/>
    <w:rsid w:val="008F1572"/>
    <w:rsid w:val="008F1E7D"/>
    <w:rsid w:val="008F246F"/>
    <w:rsid w:val="008F3B30"/>
    <w:rsid w:val="009003F8"/>
    <w:rsid w:val="00916412"/>
    <w:rsid w:val="0091764D"/>
    <w:rsid w:val="009237F1"/>
    <w:rsid w:val="00931070"/>
    <w:rsid w:val="00933326"/>
    <w:rsid w:val="009368FC"/>
    <w:rsid w:val="0093727F"/>
    <w:rsid w:val="00951419"/>
    <w:rsid w:val="00952B78"/>
    <w:rsid w:val="00956523"/>
    <w:rsid w:val="00967837"/>
    <w:rsid w:val="00980790"/>
    <w:rsid w:val="00982091"/>
    <w:rsid w:val="00990DDD"/>
    <w:rsid w:val="009C4C91"/>
    <w:rsid w:val="009D4EB6"/>
    <w:rsid w:val="009E7EE5"/>
    <w:rsid w:val="009F0DC1"/>
    <w:rsid w:val="009F3608"/>
    <w:rsid w:val="009F3BEC"/>
    <w:rsid w:val="00A12DC5"/>
    <w:rsid w:val="00A13C37"/>
    <w:rsid w:val="00A244A1"/>
    <w:rsid w:val="00A35371"/>
    <w:rsid w:val="00A410BC"/>
    <w:rsid w:val="00A47C95"/>
    <w:rsid w:val="00A508BA"/>
    <w:rsid w:val="00A51795"/>
    <w:rsid w:val="00A605BB"/>
    <w:rsid w:val="00A6140A"/>
    <w:rsid w:val="00A76EF2"/>
    <w:rsid w:val="00A876AC"/>
    <w:rsid w:val="00A905E6"/>
    <w:rsid w:val="00A92363"/>
    <w:rsid w:val="00A9674C"/>
    <w:rsid w:val="00AA01B1"/>
    <w:rsid w:val="00AB057F"/>
    <w:rsid w:val="00AC2964"/>
    <w:rsid w:val="00AD42F1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5BE0"/>
    <w:rsid w:val="00B60664"/>
    <w:rsid w:val="00B63A57"/>
    <w:rsid w:val="00B675C5"/>
    <w:rsid w:val="00B75897"/>
    <w:rsid w:val="00B77F79"/>
    <w:rsid w:val="00B80397"/>
    <w:rsid w:val="00B820CE"/>
    <w:rsid w:val="00B92293"/>
    <w:rsid w:val="00BA208F"/>
    <w:rsid w:val="00BA3D35"/>
    <w:rsid w:val="00BA6118"/>
    <w:rsid w:val="00BC5FBC"/>
    <w:rsid w:val="00BD0810"/>
    <w:rsid w:val="00BD5A7D"/>
    <w:rsid w:val="00BD60BD"/>
    <w:rsid w:val="00BD6D18"/>
    <w:rsid w:val="00BE24C6"/>
    <w:rsid w:val="00BF1962"/>
    <w:rsid w:val="00BF6038"/>
    <w:rsid w:val="00BF6404"/>
    <w:rsid w:val="00BF7E09"/>
    <w:rsid w:val="00C072DE"/>
    <w:rsid w:val="00C27A75"/>
    <w:rsid w:val="00C35605"/>
    <w:rsid w:val="00C43A80"/>
    <w:rsid w:val="00C54F35"/>
    <w:rsid w:val="00C65413"/>
    <w:rsid w:val="00C71986"/>
    <w:rsid w:val="00C73DAC"/>
    <w:rsid w:val="00C76D6C"/>
    <w:rsid w:val="00C84C0A"/>
    <w:rsid w:val="00CB7ADD"/>
    <w:rsid w:val="00CC176E"/>
    <w:rsid w:val="00CD253A"/>
    <w:rsid w:val="00CE1C6A"/>
    <w:rsid w:val="00D12B7F"/>
    <w:rsid w:val="00D24B09"/>
    <w:rsid w:val="00D55BF1"/>
    <w:rsid w:val="00D65A55"/>
    <w:rsid w:val="00D80BBA"/>
    <w:rsid w:val="00D83714"/>
    <w:rsid w:val="00D913B1"/>
    <w:rsid w:val="00D95EB1"/>
    <w:rsid w:val="00DA598D"/>
    <w:rsid w:val="00DA5F6E"/>
    <w:rsid w:val="00DB1292"/>
    <w:rsid w:val="00DB57F4"/>
    <w:rsid w:val="00DC28EA"/>
    <w:rsid w:val="00DC32D5"/>
    <w:rsid w:val="00DD2F28"/>
    <w:rsid w:val="00DD43A7"/>
    <w:rsid w:val="00DD78D6"/>
    <w:rsid w:val="00DE6B92"/>
    <w:rsid w:val="00DF3836"/>
    <w:rsid w:val="00E059CE"/>
    <w:rsid w:val="00E13B9E"/>
    <w:rsid w:val="00E16235"/>
    <w:rsid w:val="00E16C69"/>
    <w:rsid w:val="00E17007"/>
    <w:rsid w:val="00E3533D"/>
    <w:rsid w:val="00E3712D"/>
    <w:rsid w:val="00E444CA"/>
    <w:rsid w:val="00E452AE"/>
    <w:rsid w:val="00E542D0"/>
    <w:rsid w:val="00E75EAF"/>
    <w:rsid w:val="00E76E4A"/>
    <w:rsid w:val="00E778FC"/>
    <w:rsid w:val="00E9190B"/>
    <w:rsid w:val="00E9195C"/>
    <w:rsid w:val="00E923EF"/>
    <w:rsid w:val="00E92A91"/>
    <w:rsid w:val="00EA167B"/>
    <w:rsid w:val="00EA4119"/>
    <w:rsid w:val="00EB1A10"/>
    <w:rsid w:val="00EB2238"/>
    <w:rsid w:val="00EB22FE"/>
    <w:rsid w:val="00EB55B6"/>
    <w:rsid w:val="00EC00CD"/>
    <w:rsid w:val="00EC4AF3"/>
    <w:rsid w:val="00EF5189"/>
    <w:rsid w:val="00EF7883"/>
    <w:rsid w:val="00F1203C"/>
    <w:rsid w:val="00F12A67"/>
    <w:rsid w:val="00F15D36"/>
    <w:rsid w:val="00F22F9C"/>
    <w:rsid w:val="00F2507C"/>
    <w:rsid w:val="00F34E70"/>
    <w:rsid w:val="00F51548"/>
    <w:rsid w:val="00F547A3"/>
    <w:rsid w:val="00F56CA0"/>
    <w:rsid w:val="00F5755C"/>
    <w:rsid w:val="00F7775A"/>
    <w:rsid w:val="00FA7564"/>
    <w:rsid w:val="00FB0F66"/>
    <w:rsid w:val="00FC7C08"/>
    <w:rsid w:val="00FD2B43"/>
    <w:rsid w:val="00FD50E7"/>
    <w:rsid w:val="00FD52C3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A55CC82-743B-4C4D-8CD7-45EB5E72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35</cp:revision>
  <cp:lastPrinted>2014-05-09T21:50:00Z</cp:lastPrinted>
  <dcterms:created xsi:type="dcterms:W3CDTF">2014-02-22T04:37:00Z</dcterms:created>
  <dcterms:modified xsi:type="dcterms:W3CDTF">2014-05-09T21:50:00Z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id="CK5ssEVB"/&gt;&lt;style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