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C53F38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C53F38">
        <w:rPr>
          <w:rFonts w:ascii="Gentium Book Basic" w:hAnsi="Gentium Book Basic" w:cs="Times New Roman"/>
          <w:b/>
          <w:sz w:val="28"/>
          <w:szCs w:val="28"/>
        </w:rPr>
        <w:t>2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C53F38">
        <w:rPr>
          <w:rFonts w:ascii="Gentium Book Basic" w:hAnsi="Gentium Book Basic" w:cs="Times New Roman"/>
          <w:b/>
          <w:sz w:val="28"/>
          <w:szCs w:val="28"/>
        </w:rPr>
        <w:t>John 1:1–51</w:t>
      </w:r>
    </w:p>
    <w:p w:rsidR="00ED64A1" w:rsidRDefault="00D30FF8" w:rsidP="00F0149B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510735">
        <w:rPr>
          <w:rFonts w:ascii="Gentium Book Basic" w:hAnsi="Gentium Book Basic" w:cs="Arial"/>
          <w:sz w:val="24"/>
          <w:szCs w:val="24"/>
          <w:lang w:bidi="he-IL"/>
        </w:rPr>
        <w:t>John</w:t>
      </w:r>
      <w:r w:rsidR="00ED64A1">
        <w:rPr>
          <w:rFonts w:ascii="Gentium Book Basic" w:hAnsi="Gentium Book Basic" w:cs="Arial"/>
          <w:sz w:val="24"/>
          <w:szCs w:val="24"/>
          <w:lang w:bidi="he-IL"/>
        </w:rPr>
        <w:t xml:space="preserve"> introduces his gospel </w:t>
      </w:r>
      <w:r w:rsidR="00510735">
        <w:rPr>
          <w:rFonts w:ascii="Gentium Book Basic" w:hAnsi="Gentium Book Basic" w:cs="Arial"/>
          <w:sz w:val="24"/>
          <w:szCs w:val="24"/>
          <w:lang w:bidi="he-IL"/>
        </w:rPr>
        <w:t xml:space="preserve">with a glorious prologue (1:1–18) </w:t>
      </w:r>
      <w:r w:rsidR="00C03B92">
        <w:rPr>
          <w:rFonts w:ascii="Gentium Book Basic" w:hAnsi="Gentium Book Basic" w:cs="Arial"/>
          <w:sz w:val="24"/>
          <w:szCs w:val="24"/>
          <w:lang w:bidi="he-IL"/>
        </w:rPr>
        <w:t xml:space="preserve">that describes the doctrine of Christ’s incarnation with precise language. The incarnation, foundational as it is for so many other doctrines, is </w:t>
      </w:r>
      <w:r w:rsidR="00F0149B">
        <w:rPr>
          <w:rFonts w:ascii="Gentium Book Basic" w:hAnsi="Gentium Book Basic" w:cs="Arial"/>
          <w:sz w:val="24"/>
          <w:szCs w:val="24"/>
          <w:lang w:bidi="he-IL"/>
        </w:rPr>
        <w:t>challenging</w:t>
      </w:r>
      <w:r w:rsidR="00C03B92">
        <w:rPr>
          <w:rFonts w:ascii="Gentium Book Basic" w:hAnsi="Gentium Book Basic" w:cs="Arial"/>
          <w:sz w:val="24"/>
          <w:szCs w:val="24"/>
          <w:lang w:bidi="he-IL"/>
        </w:rPr>
        <w:t xml:space="preserve"> to </w:t>
      </w:r>
      <w:r w:rsidR="00F0149B">
        <w:rPr>
          <w:rFonts w:ascii="Gentium Book Basic" w:hAnsi="Gentium Book Basic" w:cs="Arial"/>
          <w:sz w:val="24"/>
          <w:szCs w:val="24"/>
          <w:lang w:bidi="he-IL"/>
        </w:rPr>
        <w:t>explain</w:t>
      </w:r>
      <w:r w:rsidR="00C03B92">
        <w:rPr>
          <w:rFonts w:ascii="Gentium Book Basic" w:hAnsi="Gentium Book Basic" w:cs="Arial"/>
          <w:sz w:val="24"/>
          <w:szCs w:val="24"/>
          <w:lang w:bidi="he-IL"/>
        </w:rPr>
        <w:t>. In this passage, each word serves a specific purpose. J. C. Ryle observes this effect when he remarks that “</w:t>
      </w:r>
      <w:r w:rsidR="00C03B92" w:rsidRPr="00C03B92">
        <w:rPr>
          <w:rFonts w:ascii="Gentium Book Basic" w:hAnsi="Gentium Book Basic" w:cs="Arial"/>
          <w:sz w:val="24"/>
          <w:szCs w:val="24"/>
          <w:lang w:bidi="he-IL"/>
        </w:rPr>
        <w:t>not a single word could be altered in the first five verses of St. John</w:t>
      </w:r>
      <w:r w:rsidR="00C03B92">
        <w:rPr>
          <w:rFonts w:ascii="Gentium Book Basic" w:hAnsi="Gentium Book Basic" w:cs="Arial"/>
          <w:sz w:val="24"/>
          <w:szCs w:val="24"/>
          <w:lang w:bidi="he-IL"/>
        </w:rPr>
        <w:t>’</w:t>
      </w:r>
      <w:r w:rsidR="00C03B92" w:rsidRPr="00C03B92">
        <w:rPr>
          <w:rFonts w:ascii="Gentium Book Basic" w:hAnsi="Gentium Book Basic" w:cs="Arial"/>
          <w:sz w:val="24"/>
          <w:szCs w:val="24"/>
          <w:lang w:bidi="he-IL"/>
        </w:rPr>
        <w:t>s Gospel, without opening the door to some heresy.</w:t>
      </w:r>
      <w:r w:rsidR="00C03B92"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C03B92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</w:p>
    <w:p w:rsidR="00F21590" w:rsidRPr="008869A9" w:rsidRDefault="008869A9" w:rsidP="00F20453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Following v. 18, we have two sections that narrate events from Jesus’ first week in public ministry.</w:t>
      </w:r>
      <w:r w:rsidR="00F20453">
        <w:rPr>
          <w:rFonts w:ascii="Gentium Book Basic" w:hAnsi="Gentium Book Basic" w:cs="Arial"/>
          <w:sz w:val="24"/>
          <w:szCs w:val="24"/>
          <w:lang w:bidi="he-IL"/>
        </w:rPr>
        <w:t xml:space="preserve"> After the highly theological prologue, this passage places Jesus’ ministry within the context of history. The passage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begins with the preaching of John the Baptist, calling the Jews to </w:t>
      </w:r>
      <w:r w:rsidRPr="008869A9">
        <w:rPr>
          <w:rFonts w:ascii="Gentium Book Basic" w:hAnsi="Gentium Book Basic" w:cs="Arial"/>
          <w:sz w:val="24"/>
          <w:szCs w:val="24"/>
          <w:lang w:bidi="he-IL"/>
        </w:rPr>
        <w:t xml:space="preserve">repentance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and proclaiming Jesus as the “lamb of God” </w:t>
      </w:r>
      <w:r w:rsidR="00F20453">
        <w:rPr>
          <w:rFonts w:ascii="Gentium Book Basic" w:hAnsi="Gentium Book Basic" w:cs="Arial"/>
          <w:sz w:val="24"/>
          <w:szCs w:val="24"/>
          <w:lang w:bidi="he-IL"/>
        </w:rPr>
        <w:t xml:space="preserve">and the “Son of God” </w:t>
      </w:r>
      <w:r w:rsidRPr="008869A9">
        <w:rPr>
          <w:rFonts w:ascii="Gentium Book Basic" w:eastAsia="Times New Roman" w:hAnsi="Gentium Book Basic" w:cs="Times New Roman"/>
          <w:color w:val="000000"/>
          <w:lang w:bidi="he-IL"/>
        </w:rPr>
        <w:t xml:space="preserve">(1:19-34). Then, in 1:35–51, </w:t>
      </w:r>
      <w:r>
        <w:rPr>
          <w:rFonts w:ascii="Gentium Book Basic" w:eastAsia="Times New Roman" w:hAnsi="Gentium Book Basic" w:cs="Times New Roman"/>
          <w:color w:val="000000"/>
          <w:lang w:bidi="he-IL"/>
        </w:rPr>
        <w:t xml:space="preserve">Jesus </w:t>
      </w:r>
      <w:r w:rsidR="00F20453">
        <w:rPr>
          <w:rFonts w:ascii="Gentium Book Basic" w:eastAsia="Times New Roman" w:hAnsi="Gentium Book Basic" w:cs="Times New Roman"/>
          <w:color w:val="000000"/>
          <w:lang w:bidi="he-IL"/>
        </w:rPr>
        <w:t xml:space="preserve">begins by recruiting disciples to participate in his public ministry. </w:t>
      </w:r>
    </w:p>
    <w:p w:rsidR="00D32829" w:rsidRDefault="00D32829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</w:p>
    <w:p w:rsidR="00774AC2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footnoteReference w:id="2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C53F3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C53F38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INTRODUCTION: THE WORD MADE FLESH (1:1-18)</w:t>
      </w:r>
    </w:p>
    <w:p w:rsidR="00C53F38" w:rsidRPr="00C53F3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C53F38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BOOK OF SIGNS: THE SIGNS OF THE MESSIAH (1:19-12:50)</w:t>
      </w:r>
    </w:p>
    <w:p w:rsidR="00C53F38" w:rsidRPr="00C53F3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C53F38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Forerunner and the Coming of the Messiah (1:19-51)</w:t>
      </w:r>
    </w:p>
    <w:p w:rsidR="00C53F38" w:rsidRPr="00C53F3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C53F38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Testimony of John the Baptist (1:19-34)</w:t>
      </w:r>
    </w:p>
    <w:p w:rsidR="00C53F38" w:rsidRPr="00C53F3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C53F38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The Beginning of Jesus’ Ministry (1:35-51)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DC40FB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1: Changing Water into Wine at the Wedding in Cana (2:1-12)</w:t>
      </w:r>
    </w:p>
    <w:p w:rsidR="00C53F38" w:rsidRPr="00DC40FB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2: One of Jesus’ Jerusalem Signs: The Clearing of the Temple (2:13-22)</w:t>
      </w:r>
    </w:p>
    <w:p w:rsidR="00C53F38" w:rsidRPr="00DC40FB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Representative Conversations: Nicodemus the Jewish Ruler, the Samaritan Woman (2:23-4:42)</w:t>
      </w:r>
    </w:p>
    <w:p w:rsidR="00C53F38" w:rsidRPr="00DC40FB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3: The Second Sign in Cana: The Healing of the Royal Official’s Son (4:43-54)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4 at an Unnamed Feast in Jerusalem: The Healing of the Lame Man (5:1-47)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5: Galilean Passover: Feeding the Multitude and Bread of Life Discourse (6:1-71)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Jesus at the Feast of Tabernacles (7:1-8:59)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bookmarkStart w:id="0" w:name="_GoBack"/>
      <w:bookmarkEnd w:id="0"/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C53F38" w:rsidRPr="00DC40FB" w:rsidRDefault="00C53F38" w:rsidP="00C53F38">
      <w:pPr>
        <w:widowControl w:val="0"/>
        <w:numPr>
          <w:ilvl w:val="0"/>
          <w:numId w:val="18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Third Appearance, to Seven Disciples in Galilee (21:1-14)</w:t>
      </w:r>
    </w:p>
    <w:p w:rsidR="00C53F38" w:rsidRPr="00DC40FB" w:rsidRDefault="00C53F38" w:rsidP="00C53F38">
      <w:pPr>
        <w:widowControl w:val="0"/>
        <w:numPr>
          <w:ilvl w:val="0"/>
          <w:numId w:val="18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 and Peter (21:15-19)</w:t>
      </w:r>
    </w:p>
    <w:p w:rsidR="00C53F38" w:rsidRDefault="00C53F38" w:rsidP="00C53F38">
      <w:pPr>
        <w:widowControl w:val="0"/>
        <w:numPr>
          <w:ilvl w:val="0"/>
          <w:numId w:val="18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</w:t>
      </w:r>
      <w:r w:rsidR="00510735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and the Disciple Jesus Loved (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1:20-25)</w:t>
      </w:r>
    </w:p>
    <w:p w:rsidR="00306356" w:rsidRDefault="00306356" w:rsidP="00C53F38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A72EA2" w:rsidRDefault="00A72EA2" w:rsidP="00613756">
      <w:pPr>
        <w:pStyle w:val="Question"/>
        <w:sectPr w:rsidR="00A72EA2" w:rsidSect="00B07C77">
          <w:type w:val="continuous"/>
          <w:pgSz w:w="12240" w:h="15840"/>
          <w:pgMar w:top="720" w:right="720" w:bottom="720" w:left="720" w:header="720" w:footer="720" w:gutter="360"/>
          <w:cols w:space="720"/>
          <w:docGrid w:linePitch="360"/>
        </w:sectPr>
      </w:pPr>
    </w:p>
    <w:p w:rsidR="00DB57F4" w:rsidRPr="006B7627" w:rsidRDefault="00613756" w:rsidP="00F0149B">
      <w:pPr>
        <w:pStyle w:val="Question"/>
      </w:pPr>
      <w:r>
        <w:lastRenderedPageBreak/>
        <w:t>In what sense does li</w:t>
      </w:r>
      <w:r w:rsidR="00F0149B">
        <w:t xml:space="preserve">fe reside in Christ, and how does </w:t>
      </w:r>
      <w:r>
        <w:t xml:space="preserve">his life provide light to men (1:4)? 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613756" w:rsidP="00EE0128">
      <w:pPr>
        <w:pStyle w:val="Question"/>
      </w:pPr>
      <w:r>
        <w:t xml:space="preserve">What does it mean for John to come as a “witness” to Christ (1:6)? </w:t>
      </w:r>
      <w:r w:rsidR="00EE0128">
        <w:t xml:space="preserve">How does he understand his own role </w:t>
      </w:r>
      <w:r w:rsidR="00F0149B">
        <w:t xml:space="preserve">as a witness </w:t>
      </w:r>
      <w:r w:rsidR="00EE0128">
        <w:t>(1:19–27)</w:t>
      </w:r>
      <w:r w:rsidR="00F0149B">
        <w:t>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613756" w:rsidP="00FE4F29">
      <w:pPr>
        <w:pStyle w:val="Question"/>
      </w:pPr>
      <w:r>
        <w:t>What does it mean to have “the right to become children of God” (1:12)? How is that right acquired?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320A0B" w:rsidRDefault="00613756" w:rsidP="00686B27">
      <w:pPr>
        <w:pStyle w:val="Question"/>
      </w:pPr>
      <w:r>
        <w:t xml:space="preserve">In 1:16, the </w:t>
      </w:r>
      <w:r w:rsidR="00A72EA2">
        <w:t xml:space="preserve">preposition “for” </w:t>
      </w:r>
      <w:r w:rsidR="00F0149B">
        <w:t xml:space="preserve">(found </w:t>
      </w:r>
      <w:r w:rsidR="00A72EA2">
        <w:t xml:space="preserve">in the phrase “grace </w:t>
      </w:r>
      <w:r w:rsidR="00A72EA2" w:rsidRPr="00F0149B">
        <w:rPr>
          <w:i/>
          <w:iCs/>
        </w:rPr>
        <w:t>for</w:t>
      </w:r>
      <w:r w:rsidR="00A72EA2">
        <w:t xml:space="preserve"> grace”</w:t>
      </w:r>
      <w:r w:rsidR="00F0149B">
        <w:t>)</w:t>
      </w:r>
      <w:r w:rsidR="00A72EA2">
        <w:t xml:space="preserve"> literally means “upon.” </w:t>
      </w:r>
      <w:r w:rsidR="00121ED2">
        <w:t xml:space="preserve">How does </w:t>
      </w:r>
      <w:r w:rsidR="00686B27">
        <w:t>Christ’s</w:t>
      </w:r>
      <w:r w:rsidR="00121ED2">
        <w:t xml:space="preserve"> coming result in</w:t>
      </w:r>
      <w:r w:rsidR="00A72EA2">
        <w:t xml:space="preserve"> God’s grace </w:t>
      </w:r>
      <w:r w:rsidR="00121ED2">
        <w:t xml:space="preserve">being </w:t>
      </w:r>
      <w:r w:rsidR="00A72EA2">
        <w:t>accumulated upon more grace</w:t>
      </w:r>
      <w:r w:rsidR="00121ED2">
        <w:t>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121ED2" w:rsidP="00686B27">
      <w:pPr>
        <w:pStyle w:val="Question"/>
      </w:pPr>
      <w:r>
        <w:t xml:space="preserve"> </w:t>
      </w:r>
      <w:r w:rsidR="00686B27">
        <w:t>What does it mean for Jesus to be the “only begotten” Son (1:14, 18; cf. 3:16, 18)?</w:t>
      </w:r>
      <w:r w:rsidR="00F0149B">
        <w:t xml:space="preserve"> What would it mean if he were </w:t>
      </w:r>
      <w:r w:rsidR="00F0149B" w:rsidRPr="00F0149B">
        <w:rPr>
          <w:u w:val="single"/>
        </w:rPr>
        <w:t>not</w:t>
      </w:r>
      <w:r w:rsidR="00F0149B">
        <w:t xml:space="preserve"> the “only begotten”?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F2507C" w:rsidRDefault="00717DA3" w:rsidP="00717DA3">
      <w:pPr>
        <w:pStyle w:val="Question"/>
      </w:pPr>
      <w:r>
        <w:t>What gave authority to John’s witness (1:32–34)?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325078" w:rsidRDefault="00713BB2" w:rsidP="00713BB2">
      <w:pPr>
        <w:pStyle w:val="Question"/>
      </w:pPr>
      <w:r>
        <w:t>Notice how the early disciples respond to Jesus by identifying him as the Messiah (1:41, 45, 47–49). How did they come to this conclusion, and how could they be so confident</w:t>
      </w:r>
      <w:r w:rsidR="00F0149B">
        <w:t xml:space="preserve"> about it</w:t>
      </w:r>
      <w:r>
        <w:t>?</w:t>
      </w: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A72EA2" w:rsidRDefault="00A72EA2" w:rsidP="00A72EA2">
      <w:pPr>
        <w:pStyle w:val="Question"/>
        <w:numPr>
          <w:ilvl w:val="0"/>
          <w:numId w:val="0"/>
        </w:numPr>
        <w:ind w:left="360" w:hanging="360"/>
      </w:pPr>
    </w:p>
    <w:p w:rsidR="00A72EA2" w:rsidRDefault="00A72EA2" w:rsidP="00A72EA2">
      <w:pPr>
        <w:pStyle w:val="Question"/>
        <w:sectPr w:rsidR="00A72EA2" w:rsidSect="00713BB2">
          <w:type w:val="continuous"/>
          <w:pgSz w:w="12240" w:h="15840"/>
          <w:pgMar w:top="720" w:right="720" w:bottom="720" w:left="720" w:header="720" w:footer="720" w:gutter="360"/>
          <w:cols w:space="360"/>
          <w:docGrid w:linePitch="360"/>
        </w:sectPr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A72EA2">
      <w:pPr>
        <w:pStyle w:val="Question"/>
      </w:pPr>
      <w:r>
        <w:t>What does this passage tell us about Jesus?</w:t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B21" w:rsidRDefault="00D77B21" w:rsidP="001E73CB">
      <w:r>
        <w:separator/>
      </w:r>
    </w:p>
  </w:endnote>
  <w:endnote w:type="continuationSeparator" w:id="0">
    <w:p w:rsidR="00D77B21" w:rsidRDefault="00D77B21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B21" w:rsidRDefault="00D77B21" w:rsidP="001E73CB">
      <w:r>
        <w:separator/>
      </w:r>
    </w:p>
  </w:footnote>
  <w:footnote w:type="continuationSeparator" w:id="0">
    <w:p w:rsidR="00D77B21" w:rsidRDefault="00D77B21" w:rsidP="001E73CB">
      <w:r>
        <w:continuationSeparator/>
      </w:r>
    </w:p>
  </w:footnote>
  <w:footnote w:id="1">
    <w:p w:rsidR="00C03B92" w:rsidRDefault="00C03B92" w:rsidP="008869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3B92">
        <w:rPr>
          <w:rFonts w:cs="Times New Roman"/>
          <w:i/>
          <w:iCs/>
          <w:szCs w:val="24"/>
        </w:rPr>
        <w:t>Expository Thoughts on John</w:t>
      </w:r>
      <w:r w:rsidRPr="00C03B92">
        <w:rPr>
          <w:rFonts w:cs="Times New Roman"/>
          <w:szCs w:val="24"/>
        </w:rPr>
        <w:t xml:space="preserve"> (Carlisle, PA: Banner of Truth, 1987), </w:t>
      </w:r>
      <w:proofErr w:type="spellStart"/>
      <w:r>
        <w:rPr>
          <w:rFonts w:cs="Times New Roman"/>
          <w:szCs w:val="24"/>
        </w:rPr>
        <w:t>vol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1.,</w:t>
      </w:r>
      <w:proofErr w:type="gramEnd"/>
      <w:r>
        <w:rPr>
          <w:rFonts w:cs="Times New Roman"/>
          <w:szCs w:val="24"/>
        </w:rPr>
        <w:t xml:space="preserve"> </w:t>
      </w:r>
      <w:r w:rsidRPr="00C03B92">
        <w:rPr>
          <w:rFonts w:cs="Times New Roman"/>
          <w:szCs w:val="24"/>
        </w:rPr>
        <w:t>6.</w:t>
      </w:r>
    </w:p>
  </w:footnote>
  <w:footnote w:id="2">
    <w:p w:rsidR="00C53F38" w:rsidRDefault="00C53F38" w:rsidP="00C53F3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Pr="00DC40FB">
        <w:rPr>
          <w:rFonts w:cs="Times New Roman"/>
          <w:szCs w:val="24"/>
        </w:rPr>
        <w:t xml:space="preserve">dapted from Andreas J.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743"/>
    <w:rsid w:val="00033077"/>
    <w:rsid w:val="00040972"/>
    <w:rsid w:val="00041496"/>
    <w:rsid w:val="00046FF8"/>
    <w:rsid w:val="000518F7"/>
    <w:rsid w:val="00054010"/>
    <w:rsid w:val="00060D56"/>
    <w:rsid w:val="0006635C"/>
    <w:rsid w:val="00076217"/>
    <w:rsid w:val="00080D04"/>
    <w:rsid w:val="00081C3C"/>
    <w:rsid w:val="000915FC"/>
    <w:rsid w:val="00096803"/>
    <w:rsid w:val="000A3ADD"/>
    <w:rsid w:val="000B3501"/>
    <w:rsid w:val="000B412F"/>
    <w:rsid w:val="000B4489"/>
    <w:rsid w:val="000B70D0"/>
    <w:rsid w:val="000B7225"/>
    <w:rsid w:val="000C02C4"/>
    <w:rsid w:val="000C34E5"/>
    <w:rsid w:val="000D7395"/>
    <w:rsid w:val="000E4666"/>
    <w:rsid w:val="00111C42"/>
    <w:rsid w:val="00113A6B"/>
    <w:rsid w:val="00117C08"/>
    <w:rsid w:val="00121DDC"/>
    <w:rsid w:val="00121ED2"/>
    <w:rsid w:val="00123AD7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B2B"/>
    <w:rsid w:val="0017258D"/>
    <w:rsid w:val="00172FD6"/>
    <w:rsid w:val="00173C80"/>
    <w:rsid w:val="00175B44"/>
    <w:rsid w:val="00192DC6"/>
    <w:rsid w:val="00196FCD"/>
    <w:rsid w:val="001B4E86"/>
    <w:rsid w:val="001B6703"/>
    <w:rsid w:val="001C7E92"/>
    <w:rsid w:val="001D0C8F"/>
    <w:rsid w:val="001D6BDC"/>
    <w:rsid w:val="001E0244"/>
    <w:rsid w:val="001E73CB"/>
    <w:rsid w:val="001F2729"/>
    <w:rsid w:val="001F4645"/>
    <w:rsid w:val="00213328"/>
    <w:rsid w:val="00213F1D"/>
    <w:rsid w:val="002140C8"/>
    <w:rsid w:val="002163CA"/>
    <w:rsid w:val="00217A70"/>
    <w:rsid w:val="002329F5"/>
    <w:rsid w:val="00234F21"/>
    <w:rsid w:val="00240BB8"/>
    <w:rsid w:val="0024316E"/>
    <w:rsid w:val="00244CC4"/>
    <w:rsid w:val="00245F23"/>
    <w:rsid w:val="00246524"/>
    <w:rsid w:val="00256633"/>
    <w:rsid w:val="002631C0"/>
    <w:rsid w:val="00271CDD"/>
    <w:rsid w:val="002804DA"/>
    <w:rsid w:val="00281D4E"/>
    <w:rsid w:val="00296541"/>
    <w:rsid w:val="002B2605"/>
    <w:rsid w:val="002D7D38"/>
    <w:rsid w:val="002E1016"/>
    <w:rsid w:val="002E18B7"/>
    <w:rsid w:val="002E6720"/>
    <w:rsid w:val="00300371"/>
    <w:rsid w:val="00302169"/>
    <w:rsid w:val="00306356"/>
    <w:rsid w:val="00320A0B"/>
    <w:rsid w:val="00322851"/>
    <w:rsid w:val="00323467"/>
    <w:rsid w:val="00325078"/>
    <w:rsid w:val="003426B0"/>
    <w:rsid w:val="00344722"/>
    <w:rsid w:val="0036311A"/>
    <w:rsid w:val="00367F86"/>
    <w:rsid w:val="0037226E"/>
    <w:rsid w:val="00376A20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334DD"/>
    <w:rsid w:val="00446481"/>
    <w:rsid w:val="004578C8"/>
    <w:rsid w:val="00474A83"/>
    <w:rsid w:val="004824FF"/>
    <w:rsid w:val="004857A9"/>
    <w:rsid w:val="00494592"/>
    <w:rsid w:val="00494C26"/>
    <w:rsid w:val="004B0723"/>
    <w:rsid w:val="004C21B4"/>
    <w:rsid w:val="004D7F28"/>
    <w:rsid w:val="004E09FF"/>
    <w:rsid w:val="004F421C"/>
    <w:rsid w:val="004F65A2"/>
    <w:rsid w:val="00501B44"/>
    <w:rsid w:val="0050641E"/>
    <w:rsid w:val="00510735"/>
    <w:rsid w:val="00514C76"/>
    <w:rsid w:val="00521A40"/>
    <w:rsid w:val="00524AB2"/>
    <w:rsid w:val="005251C5"/>
    <w:rsid w:val="00540FF0"/>
    <w:rsid w:val="00543B76"/>
    <w:rsid w:val="00553B2D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722E"/>
    <w:rsid w:val="005E1279"/>
    <w:rsid w:val="005E6EA5"/>
    <w:rsid w:val="005F0A55"/>
    <w:rsid w:val="005F0B95"/>
    <w:rsid w:val="006004FD"/>
    <w:rsid w:val="0060395B"/>
    <w:rsid w:val="0061064D"/>
    <w:rsid w:val="00613756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8197A"/>
    <w:rsid w:val="00683A69"/>
    <w:rsid w:val="00686B27"/>
    <w:rsid w:val="006A517C"/>
    <w:rsid w:val="006A6732"/>
    <w:rsid w:val="006B051C"/>
    <w:rsid w:val="006B7627"/>
    <w:rsid w:val="006C49CB"/>
    <w:rsid w:val="006D0272"/>
    <w:rsid w:val="006D42CE"/>
    <w:rsid w:val="006D4575"/>
    <w:rsid w:val="006D666F"/>
    <w:rsid w:val="006F2297"/>
    <w:rsid w:val="007038D4"/>
    <w:rsid w:val="00705EF9"/>
    <w:rsid w:val="00711050"/>
    <w:rsid w:val="00713BB2"/>
    <w:rsid w:val="00717DA3"/>
    <w:rsid w:val="00724997"/>
    <w:rsid w:val="00724C64"/>
    <w:rsid w:val="00726FA1"/>
    <w:rsid w:val="007360B7"/>
    <w:rsid w:val="007526C5"/>
    <w:rsid w:val="0075693E"/>
    <w:rsid w:val="00757B44"/>
    <w:rsid w:val="00762305"/>
    <w:rsid w:val="00774AC2"/>
    <w:rsid w:val="007806D2"/>
    <w:rsid w:val="007814BC"/>
    <w:rsid w:val="007860AB"/>
    <w:rsid w:val="00786977"/>
    <w:rsid w:val="00787A53"/>
    <w:rsid w:val="00794183"/>
    <w:rsid w:val="007A23F7"/>
    <w:rsid w:val="007C20C1"/>
    <w:rsid w:val="007C5650"/>
    <w:rsid w:val="007D0EC9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735C"/>
    <w:rsid w:val="0085179F"/>
    <w:rsid w:val="008771CA"/>
    <w:rsid w:val="00880412"/>
    <w:rsid w:val="00881FB8"/>
    <w:rsid w:val="008835EC"/>
    <w:rsid w:val="008869A9"/>
    <w:rsid w:val="0088714D"/>
    <w:rsid w:val="00890FEE"/>
    <w:rsid w:val="008A4953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F1572"/>
    <w:rsid w:val="008F1E7D"/>
    <w:rsid w:val="008F246F"/>
    <w:rsid w:val="008F3B30"/>
    <w:rsid w:val="008F4223"/>
    <w:rsid w:val="009003F8"/>
    <w:rsid w:val="00916412"/>
    <w:rsid w:val="0091764D"/>
    <w:rsid w:val="009237F1"/>
    <w:rsid w:val="00930052"/>
    <w:rsid w:val="00931070"/>
    <w:rsid w:val="00933326"/>
    <w:rsid w:val="009368FC"/>
    <w:rsid w:val="0093727F"/>
    <w:rsid w:val="00951419"/>
    <w:rsid w:val="00952B78"/>
    <w:rsid w:val="00956523"/>
    <w:rsid w:val="00967837"/>
    <w:rsid w:val="00980790"/>
    <w:rsid w:val="00982091"/>
    <w:rsid w:val="0098254F"/>
    <w:rsid w:val="00990DDD"/>
    <w:rsid w:val="009934BB"/>
    <w:rsid w:val="009A1B5B"/>
    <w:rsid w:val="009C3B64"/>
    <w:rsid w:val="009C4C91"/>
    <w:rsid w:val="009D4EB6"/>
    <w:rsid w:val="009E7EE5"/>
    <w:rsid w:val="009F0DC1"/>
    <w:rsid w:val="009F1551"/>
    <w:rsid w:val="009F3608"/>
    <w:rsid w:val="009F3BEC"/>
    <w:rsid w:val="00A12DC5"/>
    <w:rsid w:val="00A13C37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7087E"/>
    <w:rsid w:val="00A72EA2"/>
    <w:rsid w:val="00A76EF2"/>
    <w:rsid w:val="00A876AC"/>
    <w:rsid w:val="00A905E6"/>
    <w:rsid w:val="00A90A6C"/>
    <w:rsid w:val="00A92363"/>
    <w:rsid w:val="00A92F9C"/>
    <w:rsid w:val="00A9674C"/>
    <w:rsid w:val="00AA01B1"/>
    <w:rsid w:val="00AB057F"/>
    <w:rsid w:val="00AB23AD"/>
    <w:rsid w:val="00AC065D"/>
    <w:rsid w:val="00AC0B10"/>
    <w:rsid w:val="00AC2964"/>
    <w:rsid w:val="00AD4156"/>
    <w:rsid w:val="00AD4195"/>
    <w:rsid w:val="00AD42F1"/>
    <w:rsid w:val="00AE71EF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5BE0"/>
    <w:rsid w:val="00B60664"/>
    <w:rsid w:val="00B63A57"/>
    <w:rsid w:val="00B675C5"/>
    <w:rsid w:val="00B72305"/>
    <w:rsid w:val="00B75043"/>
    <w:rsid w:val="00B75897"/>
    <w:rsid w:val="00B77F79"/>
    <w:rsid w:val="00B80397"/>
    <w:rsid w:val="00B820CE"/>
    <w:rsid w:val="00B92293"/>
    <w:rsid w:val="00BA208F"/>
    <w:rsid w:val="00BA3D35"/>
    <w:rsid w:val="00BA6118"/>
    <w:rsid w:val="00BC5FBC"/>
    <w:rsid w:val="00BD0810"/>
    <w:rsid w:val="00BD2A78"/>
    <w:rsid w:val="00BD5A7D"/>
    <w:rsid w:val="00BD60BD"/>
    <w:rsid w:val="00BD6D18"/>
    <w:rsid w:val="00BE2363"/>
    <w:rsid w:val="00BE24C6"/>
    <w:rsid w:val="00BE79DB"/>
    <w:rsid w:val="00BF1937"/>
    <w:rsid w:val="00BF1962"/>
    <w:rsid w:val="00BF1B4E"/>
    <w:rsid w:val="00BF53E2"/>
    <w:rsid w:val="00BF6038"/>
    <w:rsid w:val="00BF6404"/>
    <w:rsid w:val="00BF7E09"/>
    <w:rsid w:val="00C03B92"/>
    <w:rsid w:val="00C072DE"/>
    <w:rsid w:val="00C1474A"/>
    <w:rsid w:val="00C20934"/>
    <w:rsid w:val="00C255A5"/>
    <w:rsid w:val="00C27A75"/>
    <w:rsid w:val="00C35605"/>
    <w:rsid w:val="00C43A80"/>
    <w:rsid w:val="00C50D14"/>
    <w:rsid w:val="00C53F38"/>
    <w:rsid w:val="00C54F35"/>
    <w:rsid w:val="00C65413"/>
    <w:rsid w:val="00C71986"/>
    <w:rsid w:val="00C73DAC"/>
    <w:rsid w:val="00C76D6C"/>
    <w:rsid w:val="00C8061D"/>
    <w:rsid w:val="00C84C0A"/>
    <w:rsid w:val="00C95B5D"/>
    <w:rsid w:val="00CA577D"/>
    <w:rsid w:val="00CB7ADD"/>
    <w:rsid w:val="00CC1419"/>
    <w:rsid w:val="00CC176E"/>
    <w:rsid w:val="00CD253A"/>
    <w:rsid w:val="00CD7114"/>
    <w:rsid w:val="00CD785A"/>
    <w:rsid w:val="00CE0F7F"/>
    <w:rsid w:val="00CE1C6A"/>
    <w:rsid w:val="00CE5834"/>
    <w:rsid w:val="00D06873"/>
    <w:rsid w:val="00D12B7F"/>
    <w:rsid w:val="00D1740E"/>
    <w:rsid w:val="00D2159D"/>
    <w:rsid w:val="00D23E16"/>
    <w:rsid w:val="00D24B09"/>
    <w:rsid w:val="00D30FF8"/>
    <w:rsid w:val="00D32829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E059CE"/>
    <w:rsid w:val="00E11B0B"/>
    <w:rsid w:val="00E13B9E"/>
    <w:rsid w:val="00E15AE3"/>
    <w:rsid w:val="00E16235"/>
    <w:rsid w:val="00E16C69"/>
    <w:rsid w:val="00E17007"/>
    <w:rsid w:val="00E3533D"/>
    <w:rsid w:val="00E3712D"/>
    <w:rsid w:val="00E444CA"/>
    <w:rsid w:val="00E452AE"/>
    <w:rsid w:val="00E542D0"/>
    <w:rsid w:val="00E60007"/>
    <w:rsid w:val="00E60DC2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C00CD"/>
    <w:rsid w:val="00EC2E73"/>
    <w:rsid w:val="00EC4AF3"/>
    <w:rsid w:val="00ED64A1"/>
    <w:rsid w:val="00EE0128"/>
    <w:rsid w:val="00EF5189"/>
    <w:rsid w:val="00EF7883"/>
    <w:rsid w:val="00F0149B"/>
    <w:rsid w:val="00F05F39"/>
    <w:rsid w:val="00F1203C"/>
    <w:rsid w:val="00F12A67"/>
    <w:rsid w:val="00F15D36"/>
    <w:rsid w:val="00F20453"/>
    <w:rsid w:val="00F21590"/>
    <w:rsid w:val="00F22F9C"/>
    <w:rsid w:val="00F2507C"/>
    <w:rsid w:val="00F34E70"/>
    <w:rsid w:val="00F51548"/>
    <w:rsid w:val="00F547A3"/>
    <w:rsid w:val="00F56CA0"/>
    <w:rsid w:val="00F5755C"/>
    <w:rsid w:val="00F61D12"/>
    <w:rsid w:val="00F673A8"/>
    <w:rsid w:val="00F73685"/>
    <w:rsid w:val="00F7775A"/>
    <w:rsid w:val="00F87602"/>
    <w:rsid w:val="00F97DA0"/>
    <w:rsid w:val="00FA1C24"/>
    <w:rsid w:val="00FA3C8F"/>
    <w:rsid w:val="00FA504F"/>
    <w:rsid w:val="00FA7564"/>
    <w:rsid w:val="00FB0F66"/>
    <w:rsid w:val="00FC7C08"/>
    <w:rsid w:val="00FD2B43"/>
    <w:rsid w:val="00FD50E7"/>
    <w:rsid w:val="00FD52C3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7D14E10-3130-4C2B-BA9A-87A17BCAF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Meg Johnson</cp:lastModifiedBy>
  <cp:revision>18</cp:revision>
  <cp:lastPrinted>2014-11-16T03:27:00Z</cp:lastPrinted>
  <dcterms:created xsi:type="dcterms:W3CDTF">2014-11-14T22:34:00Z</dcterms:created>
  <dcterms:modified xsi:type="dcterms:W3CDTF">2014-11-16T05:40:00Z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id="pmz3kirc"/&gt;&lt;style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