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50481F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50481F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50481F">
        <w:rPr>
          <w:rFonts w:ascii="Gentium Book Basic" w:hAnsi="Gentium Book Basic" w:cs="Times New Roman"/>
          <w:b/>
          <w:sz w:val="28"/>
          <w:szCs w:val="28"/>
        </w:rPr>
        <w:t>5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50481F">
        <w:rPr>
          <w:rFonts w:ascii="Gentium Book Basic" w:hAnsi="Gentium Book Basic" w:cs="Times New Roman"/>
          <w:b/>
          <w:sz w:val="28"/>
          <w:szCs w:val="28"/>
        </w:rPr>
        <w:t>47</w:t>
      </w:r>
    </w:p>
    <w:p w:rsidR="00130231" w:rsidRDefault="00D30FF8" w:rsidP="000654B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>Chapter five begins a new major section called the “Festival Cycle” (</w:t>
      </w:r>
      <w:proofErr w:type="spellStart"/>
      <w:r w:rsidR="00E65C7B">
        <w:rPr>
          <w:rFonts w:ascii="Gentium Book Basic" w:hAnsi="Gentium Book Basic" w:cs="Arial"/>
          <w:sz w:val="24"/>
          <w:szCs w:val="24"/>
          <w:lang w:bidi="he-IL"/>
        </w:rPr>
        <w:t>chs</w:t>
      </w:r>
      <w:proofErr w:type="spellEnd"/>
      <w:r w:rsidR="00E65C7B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 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 xml:space="preserve">5–10). Each event in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this section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 xml:space="preserve"> occurs around the time of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a Jewish festival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A recurring theme </w:t>
      </w:r>
      <w:r w:rsidR="000B7CD1">
        <w:rPr>
          <w:rFonts w:ascii="Gentium Book Basic" w:hAnsi="Gentium Book Basic" w:cs="Arial"/>
          <w:sz w:val="24"/>
          <w:szCs w:val="24"/>
          <w:lang w:bidi="he-IL"/>
        </w:rPr>
        <w:t xml:space="preserve">here 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is the </w:t>
      </w:r>
      <w:r w:rsidR="00C64018">
        <w:rPr>
          <w:rFonts w:ascii="Gentium Book Basic" w:hAnsi="Gentium Book Basic" w:cs="Arial"/>
          <w:sz w:val="24"/>
          <w:szCs w:val="24"/>
          <w:lang w:bidi="he-IL"/>
        </w:rPr>
        <w:t>intensifying conflict between Jesus and “the Jews</w:t>
      </w:r>
      <w:r w:rsidR="006D0DB5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C64018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6D0DB5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>Usually, t</w:t>
      </w:r>
      <w:r w:rsidR="006D0DB5">
        <w:rPr>
          <w:rFonts w:ascii="Gentium Book Basic" w:hAnsi="Gentium Book Basic" w:cs="Arial"/>
          <w:sz w:val="24"/>
          <w:szCs w:val="24"/>
          <w:lang w:bidi="he-IL"/>
        </w:rPr>
        <w:t xml:space="preserve">his controversy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erupts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 xml:space="preserve"> after </w:t>
      </w:r>
      <w:r w:rsidR="006D0DB5">
        <w:rPr>
          <w:rFonts w:ascii="Gentium Book Basic" w:hAnsi="Gentium Book Basic" w:cs="Arial"/>
          <w:sz w:val="24"/>
          <w:szCs w:val="24"/>
          <w:lang w:bidi="he-IL"/>
        </w:rPr>
        <w:t>one of Jesus’ miraculous “signs” or his public teaching.</w:t>
      </w:r>
    </w:p>
    <w:p w:rsidR="00D51DA4" w:rsidRDefault="006E7301" w:rsidP="000B7CD1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Here in chapter </w:t>
      </w:r>
      <w:r w:rsidR="00E65C7B">
        <w:rPr>
          <w:rFonts w:ascii="Gentium Book Basic" w:hAnsi="Gentium Book Basic" w:cs="Arial"/>
          <w:sz w:val="24"/>
          <w:szCs w:val="24"/>
          <w:lang w:bidi="he-IL"/>
        </w:rPr>
        <w:t>five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, we see Jesus heal a lame man at an unnamed feast in the city of Jerusalem.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C</w:t>
      </w:r>
      <w:r w:rsidR="0016611E">
        <w:rPr>
          <w:rFonts w:ascii="Gentium Book Basic" w:hAnsi="Gentium Book Basic" w:cs="Arial"/>
          <w:sz w:val="24"/>
          <w:szCs w:val="24"/>
          <w:lang w:bidi="he-IL"/>
        </w:rPr>
        <w:t xml:space="preserve">ontroversy with “the Jews”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 xml:space="preserve">ensues, beginning </w:t>
      </w:r>
      <w:r w:rsidR="0016611E">
        <w:rPr>
          <w:rFonts w:ascii="Gentium Book Basic" w:hAnsi="Gentium Book Basic" w:cs="Arial"/>
          <w:sz w:val="24"/>
          <w:szCs w:val="24"/>
          <w:lang w:bidi="he-IL"/>
        </w:rPr>
        <w:t>in 5:16–18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 xml:space="preserve"> Then in t</w:t>
      </w:r>
      <w:r w:rsidR="0016611E">
        <w:rPr>
          <w:rFonts w:ascii="Gentium Book Basic" w:hAnsi="Gentium Book Basic" w:cs="Arial"/>
          <w:sz w:val="24"/>
          <w:szCs w:val="24"/>
          <w:lang w:bidi="he-IL"/>
        </w:rPr>
        <w:t xml:space="preserve">he following action 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>(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>5:19–47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>)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, Jesus gives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 xml:space="preserve"> an extended discourse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where he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asserts 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>his identity as the Son of God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 xml:space="preserve">. He backs up this bold assertion 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with 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>the external testimon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>y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 xml:space="preserve"> of John the Baptist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 xml:space="preserve"> (5:31–35),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>his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 xml:space="preserve"> miraculous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 xml:space="preserve"> works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 xml:space="preserve"> (5:36)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 xml:space="preserve">, and the 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>affirmations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 of</w:t>
      </w:r>
      <w:r w:rsidR="0088701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654BF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 xml:space="preserve">Father </w:t>
      </w:r>
      <w:r w:rsidR="00E357AC">
        <w:rPr>
          <w:rFonts w:ascii="Gentium Book Basic" w:hAnsi="Gentium Book Basic" w:cs="Arial"/>
          <w:sz w:val="24"/>
          <w:szCs w:val="24"/>
          <w:lang w:bidi="he-IL"/>
        </w:rPr>
        <w:t>in Scripture (5:37–39)</w:t>
      </w:r>
      <w:r w:rsidR="00707472"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50481F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4 at an Unnamed Feast in Jerusalem: The Healing of the Lame Man (5:1-47)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50481F" w:rsidRDefault="0050481F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113A6B" w:rsidRDefault="00294F81" w:rsidP="005E47A0">
      <w:pPr>
        <w:pStyle w:val="Question"/>
      </w:pPr>
      <w:r>
        <w:lastRenderedPageBreak/>
        <w:t>Why is it significant that the man healed in chapter five had been lame for “thirty-eight years” (5:5)?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294F81" w:rsidP="00294F81">
      <w:pPr>
        <w:pStyle w:val="Question"/>
      </w:pPr>
      <w:r>
        <w:t>What does Jesus’ statement, “Sin no more, lest a worse thing come upon you” (5:14), suggest about the man who had been healed?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20A0B" w:rsidRDefault="009C2C22" w:rsidP="009C2C22">
      <w:pPr>
        <w:pStyle w:val="Question"/>
      </w:pPr>
      <w:r>
        <w:t>Why did the Jews desire to kill Jesus (5:16–18)? How can doing work on the Sabbath be as heinous as identifying God as one’s Father?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F57D2D" w:rsidP="000E3C1C">
      <w:pPr>
        <w:pStyle w:val="Question"/>
      </w:pPr>
      <w:r>
        <w:t xml:space="preserve">How is 5:23b a tacit condemnation of “the Jews”? Given </w:t>
      </w:r>
      <w:r w:rsidR="000E3C1C">
        <w:t>Jesus’ authority to “execute judgment” (5:22–30), is it legitimate to read 5:23b this way?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0B7CD1" w:rsidP="000B7CD1">
      <w:pPr>
        <w:pStyle w:val="Question"/>
      </w:pPr>
      <w:r>
        <w:t>How</w:t>
      </w:r>
      <w:bookmarkStart w:id="0" w:name="_GoBack"/>
      <w:bookmarkEnd w:id="0"/>
      <w:r w:rsidR="00F0296F">
        <w:t xml:space="preserve"> </w:t>
      </w:r>
      <w:r>
        <w:t>do</w:t>
      </w:r>
      <w:r w:rsidR="00F0296F">
        <w:t xml:space="preserve"> Jesus’ miraculous “works” </w:t>
      </w:r>
      <w:r>
        <w:t xml:space="preserve">serve as </w:t>
      </w:r>
      <w:r w:rsidR="00F0296F">
        <w:t>a “greater witness” than the testimony of John the Baptist (5:36)?</w:t>
      </w:r>
    </w:p>
    <w:p w:rsidR="00F0296F" w:rsidRPr="00F0296F" w:rsidRDefault="00F0296F" w:rsidP="00F0296F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19285C" w:rsidRDefault="00F0296F" w:rsidP="00F0296F">
      <w:pPr>
        <w:pStyle w:val="Question"/>
      </w:pPr>
      <w:r>
        <w:t xml:space="preserve">According to Jesus’ own statements in 5:37–39, </w:t>
      </w:r>
      <w:r>
        <w:rPr>
          <w:i/>
          <w:iCs/>
        </w:rPr>
        <w:t>how</w:t>
      </w:r>
      <w:r>
        <w:t xml:space="preserve"> does the Father testify concerning his Son?</w:t>
      </w:r>
    </w:p>
    <w:p w:rsidR="0019285C" w:rsidRDefault="0019285C" w:rsidP="0019285C">
      <w:pPr>
        <w:pStyle w:val="Lines"/>
      </w:pPr>
    </w:p>
    <w:p w:rsidR="0019285C" w:rsidRDefault="0019285C" w:rsidP="0019285C">
      <w:pPr>
        <w:pStyle w:val="Lines"/>
      </w:pPr>
    </w:p>
    <w:p w:rsidR="0019285C" w:rsidRDefault="0019285C" w:rsidP="0019285C">
      <w:pPr>
        <w:pStyle w:val="Lines"/>
      </w:pPr>
    </w:p>
    <w:p w:rsidR="00A031D3" w:rsidRDefault="00327492" w:rsidP="00327492">
      <w:pPr>
        <w:pStyle w:val="Question"/>
      </w:pPr>
      <w:r>
        <w:t>In what sense could Jesus say that the Jews did not “believe” Moses’ writings (5:46–47)?</w:t>
      </w:r>
    </w:p>
    <w:p w:rsidR="00A031D3" w:rsidRDefault="00A031D3" w:rsidP="00A031D3">
      <w:pPr>
        <w:pStyle w:val="Lines"/>
      </w:pPr>
    </w:p>
    <w:p w:rsidR="00A031D3" w:rsidRDefault="00A031D3" w:rsidP="00A031D3">
      <w:pPr>
        <w:pStyle w:val="Lines"/>
      </w:pPr>
    </w:p>
    <w:p w:rsidR="00A031D3" w:rsidRPr="00A031D3" w:rsidRDefault="00A031D3" w:rsidP="00A031D3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0DA" w:rsidRDefault="00F240DA" w:rsidP="001E73CB">
      <w:r>
        <w:separator/>
      </w:r>
    </w:p>
  </w:endnote>
  <w:endnote w:type="continuationSeparator" w:id="0">
    <w:p w:rsidR="00F240DA" w:rsidRDefault="00F240DA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0DA" w:rsidRDefault="00F240DA" w:rsidP="001E73CB">
      <w:r>
        <w:separator/>
      </w:r>
    </w:p>
  </w:footnote>
  <w:footnote w:type="continuationSeparator" w:id="0">
    <w:p w:rsidR="00F240DA" w:rsidRDefault="00F240DA" w:rsidP="001E73CB">
      <w:r>
        <w:continuationSeparator/>
      </w:r>
    </w:p>
  </w:footnote>
  <w:footnote w:id="1">
    <w:p w:rsidR="00C53F38" w:rsidRDefault="00C53F38" w:rsidP="00504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40972"/>
    <w:rsid w:val="00041496"/>
    <w:rsid w:val="00046FF8"/>
    <w:rsid w:val="000518F7"/>
    <w:rsid w:val="00054010"/>
    <w:rsid w:val="00060D56"/>
    <w:rsid w:val="000654BF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70D0"/>
    <w:rsid w:val="000B7225"/>
    <w:rsid w:val="000B7CD1"/>
    <w:rsid w:val="000C02C4"/>
    <w:rsid w:val="000C2FF8"/>
    <w:rsid w:val="000C34E5"/>
    <w:rsid w:val="000D7395"/>
    <w:rsid w:val="000E3C1C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B4E86"/>
    <w:rsid w:val="001B6703"/>
    <w:rsid w:val="001C3452"/>
    <w:rsid w:val="001C7E92"/>
    <w:rsid w:val="001D0C8F"/>
    <w:rsid w:val="001D6BDC"/>
    <w:rsid w:val="001E0244"/>
    <w:rsid w:val="001E3E55"/>
    <w:rsid w:val="001E73CB"/>
    <w:rsid w:val="001F2729"/>
    <w:rsid w:val="001F4645"/>
    <w:rsid w:val="00213328"/>
    <w:rsid w:val="00213F1D"/>
    <w:rsid w:val="002140C8"/>
    <w:rsid w:val="0021496E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2F2C"/>
    <w:rsid w:val="002631C0"/>
    <w:rsid w:val="00270ABC"/>
    <w:rsid w:val="00271CDD"/>
    <w:rsid w:val="002804DA"/>
    <w:rsid w:val="00281D4E"/>
    <w:rsid w:val="00294F81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27492"/>
    <w:rsid w:val="003426B0"/>
    <w:rsid w:val="00344722"/>
    <w:rsid w:val="0036311A"/>
    <w:rsid w:val="00367F86"/>
    <w:rsid w:val="0037226E"/>
    <w:rsid w:val="003743C5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20BBF"/>
    <w:rsid w:val="00431087"/>
    <w:rsid w:val="004334DD"/>
    <w:rsid w:val="00436B6F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E634B"/>
    <w:rsid w:val="004F421C"/>
    <w:rsid w:val="004F65A2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40C34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59D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0DB5"/>
    <w:rsid w:val="006D42CE"/>
    <w:rsid w:val="006D4575"/>
    <w:rsid w:val="006D666F"/>
    <w:rsid w:val="006E7301"/>
    <w:rsid w:val="006F2297"/>
    <w:rsid w:val="007038D4"/>
    <w:rsid w:val="00705EF9"/>
    <w:rsid w:val="00707472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693E"/>
    <w:rsid w:val="00757B44"/>
    <w:rsid w:val="00762305"/>
    <w:rsid w:val="00770895"/>
    <w:rsid w:val="00774AC2"/>
    <w:rsid w:val="007806D2"/>
    <w:rsid w:val="007814BC"/>
    <w:rsid w:val="007860AB"/>
    <w:rsid w:val="00786977"/>
    <w:rsid w:val="00787A53"/>
    <w:rsid w:val="00794183"/>
    <w:rsid w:val="007A23F7"/>
    <w:rsid w:val="007A7BA9"/>
    <w:rsid w:val="007B04B0"/>
    <w:rsid w:val="007C20C1"/>
    <w:rsid w:val="007C5650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60D50"/>
    <w:rsid w:val="008771CA"/>
    <w:rsid w:val="00880412"/>
    <w:rsid w:val="00881FB8"/>
    <w:rsid w:val="008835EC"/>
    <w:rsid w:val="008869A9"/>
    <w:rsid w:val="00887018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B186D"/>
    <w:rsid w:val="009C2C22"/>
    <w:rsid w:val="009C3B64"/>
    <w:rsid w:val="009C4C91"/>
    <w:rsid w:val="009D4EB6"/>
    <w:rsid w:val="009E7EE5"/>
    <w:rsid w:val="009F0DC1"/>
    <w:rsid w:val="009F1551"/>
    <w:rsid w:val="009F3608"/>
    <w:rsid w:val="009F3BEC"/>
    <w:rsid w:val="00A031D3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63F07"/>
    <w:rsid w:val="00A7087E"/>
    <w:rsid w:val="00A72EA2"/>
    <w:rsid w:val="00A76EF2"/>
    <w:rsid w:val="00A82047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5CE8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6118"/>
    <w:rsid w:val="00BC5FBC"/>
    <w:rsid w:val="00BD0810"/>
    <w:rsid w:val="00BD2A78"/>
    <w:rsid w:val="00BD5A7D"/>
    <w:rsid w:val="00BD60BD"/>
    <w:rsid w:val="00BD6D18"/>
    <w:rsid w:val="00BD7643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7A75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B2BD4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6873"/>
    <w:rsid w:val="00D11663"/>
    <w:rsid w:val="00D12B7F"/>
    <w:rsid w:val="00D1740E"/>
    <w:rsid w:val="00D2159D"/>
    <w:rsid w:val="00D23E16"/>
    <w:rsid w:val="00D24B09"/>
    <w:rsid w:val="00D30FF8"/>
    <w:rsid w:val="00D32829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DF7FCD"/>
    <w:rsid w:val="00E059CE"/>
    <w:rsid w:val="00E11B0B"/>
    <w:rsid w:val="00E13B9E"/>
    <w:rsid w:val="00E15AE3"/>
    <w:rsid w:val="00E16235"/>
    <w:rsid w:val="00E16C69"/>
    <w:rsid w:val="00E17007"/>
    <w:rsid w:val="00E30E41"/>
    <w:rsid w:val="00E3533D"/>
    <w:rsid w:val="00E357AC"/>
    <w:rsid w:val="00E3712D"/>
    <w:rsid w:val="00E431A5"/>
    <w:rsid w:val="00E444CA"/>
    <w:rsid w:val="00E452AE"/>
    <w:rsid w:val="00E542D0"/>
    <w:rsid w:val="00E60007"/>
    <w:rsid w:val="00E60DC2"/>
    <w:rsid w:val="00E64FA4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F9C"/>
    <w:rsid w:val="00F240DA"/>
    <w:rsid w:val="00F2507C"/>
    <w:rsid w:val="00F34E70"/>
    <w:rsid w:val="00F51548"/>
    <w:rsid w:val="00F547A3"/>
    <w:rsid w:val="00F56CA0"/>
    <w:rsid w:val="00F5755C"/>
    <w:rsid w:val="00F57D2D"/>
    <w:rsid w:val="00F61D12"/>
    <w:rsid w:val="00F673A8"/>
    <w:rsid w:val="00F73685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0494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99790D2-1171-4E23-A148-19D49792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20</cp:revision>
  <cp:lastPrinted>2014-12-12T20:42:00Z</cp:lastPrinted>
  <dcterms:created xsi:type="dcterms:W3CDTF">2014-12-08T23:31:00Z</dcterms:created>
  <dcterms:modified xsi:type="dcterms:W3CDTF">2014-12-12T20:45:00Z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id="l9zR67K3"/&gt;&lt;style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