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B4716B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B4716B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B4716B">
        <w:rPr>
          <w:rFonts w:ascii="Gentium Book Basic" w:hAnsi="Gentium Book Basic" w:cs="Times New Roman"/>
          <w:b/>
          <w:sz w:val="28"/>
          <w:szCs w:val="28"/>
        </w:rPr>
        <w:t>1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B4716B">
        <w:rPr>
          <w:rFonts w:ascii="Gentium Book Basic" w:hAnsi="Gentium Book Basic" w:cs="Times New Roman"/>
          <w:b/>
          <w:sz w:val="28"/>
          <w:szCs w:val="28"/>
        </w:rPr>
        <w:t>57</w:t>
      </w:r>
    </w:p>
    <w:p w:rsidR="00B70EF8" w:rsidRDefault="00D30FF8" w:rsidP="008C1E8A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303A64">
        <w:rPr>
          <w:rFonts w:ascii="Gentium Book Basic" w:hAnsi="Gentium Book Basic" w:cs="Arial"/>
          <w:sz w:val="24"/>
          <w:szCs w:val="24"/>
          <w:lang w:bidi="he-IL"/>
        </w:rPr>
        <w:t xml:space="preserve">Having finished with the Festival Cycle, John’s gospel takes an entirely unexpected turn </w:t>
      </w:r>
      <w:r w:rsidR="008C1E8A">
        <w:rPr>
          <w:rFonts w:ascii="Gentium Book Basic" w:hAnsi="Gentium Book Basic" w:cs="Arial"/>
          <w:sz w:val="24"/>
          <w:szCs w:val="24"/>
          <w:lang w:bidi="he-IL"/>
        </w:rPr>
        <w:t xml:space="preserve">in chapter 11 </w:t>
      </w:r>
      <w:r w:rsidR="00303A64">
        <w:rPr>
          <w:rFonts w:ascii="Gentium Book Basic" w:hAnsi="Gentium Book Basic" w:cs="Arial"/>
          <w:sz w:val="24"/>
          <w:szCs w:val="24"/>
          <w:lang w:bidi="he-IL"/>
        </w:rPr>
        <w:t xml:space="preserve">as it moves toward the close of the Book of Signs. John 11:1–3 suddenly introduces characters who are new </w:t>
      </w:r>
      <w:r w:rsidR="008C1E8A">
        <w:rPr>
          <w:rFonts w:ascii="Gentium Book Basic" w:hAnsi="Gentium Book Basic" w:cs="Arial"/>
          <w:sz w:val="24"/>
          <w:szCs w:val="24"/>
          <w:lang w:bidi="he-IL"/>
        </w:rPr>
        <w:t>in this</w:t>
      </w:r>
      <w:r w:rsidR="00303A64">
        <w:rPr>
          <w:rFonts w:ascii="Gentium Book Basic" w:hAnsi="Gentium Book Basic" w:cs="Arial"/>
          <w:sz w:val="24"/>
          <w:szCs w:val="24"/>
          <w:lang w:bidi="he-IL"/>
        </w:rPr>
        <w:t xml:space="preserve"> gospel, yet well-known </w:t>
      </w:r>
      <w:r w:rsidR="008C1E8A">
        <w:rPr>
          <w:rFonts w:ascii="Gentium Book Basic" w:hAnsi="Gentium Book Basic" w:cs="Arial"/>
          <w:sz w:val="24"/>
          <w:szCs w:val="24"/>
          <w:lang w:bidi="he-IL"/>
        </w:rPr>
        <w:t xml:space="preserve">as intimate friends of Jesus </w:t>
      </w:r>
      <w:r w:rsidR="00260F9B">
        <w:rPr>
          <w:rFonts w:ascii="Gentium Book Basic" w:hAnsi="Gentium Book Basic" w:cs="Arial"/>
          <w:sz w:val="24"/>
          <w:szCs w:val="24"/>
          <w:lang w:bidi="he-IL"/>
        </w:rPr>
        <w:t>to</w:t>
      </w:r>
      <w:r w:rsidR="00303A64">
        <w:rPr>
          <w:rFonts w:ascii="Gentium Book Basic" w:hAnsi="Gentium Book Basic" w:cs="Arial"/>
          <w:sz w:val="24"/>
          <w:szCs w:val="24"/>
          <w:lang w:bidi="he-IL"/>
        </w:rPr>
        <w:t xml:space="preserve"> informed readers of the Synoptics. This sudden introduction of Lazarus, Mary, and Martha also introduces a disturbing problem—Lazarus (whom John’s readers have only</w:t>
      </w:r>
      <w:r w:rsidR="008C1E8A">
        <w:rPr>
          <w:rFonts w:ascii="Gentium Book Basic" w:hAnsi="Gentium Book Basic" w:cs="Arial"/>
          <w:sz w:val="24"/>
          <w:szCs w:val="24"/>
          <w:lang w:bidi="he-IL"/>
        </w:rPr>
        <w:t xml:space="preserve"> just met) is deathly ill.</w:t>
      </w:r>
    </w:p>
    <w:p w:rsidR="00AA2BE1" w:rsidRDefault="00303A64" w:rsidP="00DE1D1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As chapter 11 proceeds, </w:t>
      </w:r>
      <w:r w:rsidR="00DE1D1E">
        <w:rPr>
          <w:rFonts w:ascii="Gentium Book Basic" w:hAnsi="Gentium Book Basic" w:cs="Arial"/>
          <w:sz w:val="24"/>
          <w:szCs w:val="24"/>
          <w:lang w:bidi="he-IL"/>
        </w:rPr>
        <w:t>there is frequently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an element of surprise</w:t>
      </w:r>
      <w:r w:rsidR="00B70EF8">
        <w:rPr>
          <w:rFonts w:ascii="Gentium Book Basic" w:hAnsi="Gentium Book Basic" w:cs="Arial"/>
          <w:sz w:val="24"/>
          <w:szCs w:val="24"/>
          <w:lang w:bidi="he-IL"/>
        </w:rPr>
        <w:t xml:space="preserve"> (often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coupled wi</w:t>
      </w:r>
      <w:r w:rsidR="00B70EF8">
        <w:rPr>
          <w:rFonts w:ascii="Gentium Book Basic" w:hAnsi="Gentium Book Basic" w:cs="Arial"/>
          <w:sz w:val="24"/>
          <w:szCs w:val="24"/>
          <w:lang w:bidi="he-IL"/>
        </w:rPr>
        <w:t xml:space="preserve">th significant misunderstanding) that </w:t>
      </w:r>
      <w:r w:rsidR="008D1686">
        <w:rPr>
          <w:rFonts w:ascii="Gentium Book Basic" w:hAnsi="Gentium Book Basic" w:cs="Arial"/>
          <w:sz w:val="24"/>
          <w:szCs w:val="24"/>
          <w:lang w:bidi="he-IL"/>
        </w:rPr>
        <w:t>contributes to the elevated tension of the situation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260F9B">
        <w:rPr>
          <w:rFonts w:ascii="Gentium Book Basic" w:hAnsi="Gentium Book Basic" w:cs="Arial"/>
          <w:sz w:val="24"/>
          <w:szCs w:val="24"/>
          <w:lang w:bidi="he-IL"/>
        </w:rPr>
        <w:t>We are kept in suspense throughout th</w:t>
      </w:r>
      <w:r w:rsidR="00AA2BE1">
        <w:rPr>
          <w:rFonts w:ascii="Gentium Book Basic" w:hAnsi="Gentium Book Basic" w:cs="Arial"/>
          <w:sz w:val="24"/>
          <w:szCs w:val="24"/>
          <w:lang w:bidi="he-IL"/>
        </w:rPr>
        <w:t>e story, up to the point where Jesus loudly “cries out” the words, “</w:t>
      </w:r>
      <w:r w:rsidR="00AA2BE1" w:rsidRPr="00FE2842">
        <w:rPr>
          <w:rFonts w:ascii="Gentium Book Basic" w:hAnsi="Gentium Book Basic" w:cs="Arial"/>
          <w:sz w:val="24"/>
          <w:szCs w:val="24"/>
          <w:lang w:bidi="he-IL"/>
        </w:rPr>
        <w:t>Lazarus, come forth!”</w:t>
      </w:r>
      <w:r w:rsidR="00AA2BE1">
        <w:rPr>
          <w:rFonts w:ascii="Gentium Book Basic" w:hAnsi="Gentium Book Basic" w:cs="Arial"/>
          <w:sz w:val="24"/>
          <w:szCs w:val="24"/>
          <w:lang w:bidi="he-IL"/>
        </w:rPr>
        <w:t xml:space="preserve"> (11:43). </w:t>
      </w:r>
      <w:proofErr w:type="gramStart"/>
      <w:r w:rsidR="00AA2BE1">
        <w:rPr>
          <w:rFonts w:ascii="Gentium Book Basic" w:hAnsi="Gentium Book Basic" w:cs="Arial"/>
          <w:sz w:val="24"/>
          <w:szCs w:val="24"/>
          <w:lang w:bidi="he-IL"/>
        </w:rPr>
        <w:t>And</w:t>
      </w:r>
      <w:proofErr w:type="gramEnd"/>
      <w:r w:rsidR="00AA2BE1">
        <w:rPr>
          <w:rFonts w:ascii="Gentium Book Basic" w:hAnsi="Gentium Book Basic" w:cs="Arial"/>
          <w:sz w:val="24"/>
          <w:szCs w:val="24"/>
          <w:lang w:bidi="he-IL"/>
        </w:rPr>
        <w:t xml:space="preserve"> to the surprise of all (except Jesus), Lazarus does exactly that (11:44). </w:t>
      </w:r>
    </w:p>
    <w:p w:rsidR="00BF178A" w:rsidRPr="005B043B" w:rsidRDefault="00FE2842" w:rsidP="005B043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resurrection </w:t>
      </w:r>
      <w:r w:rsidR="00913B4E">
        <w:rPr>
          <w:rFonts w:ascii="Gentium Book Basic" w:hAnsi="Gentium Book Basic" w:cs="Arial"/>
          <w:sz w:val="24"/>
          <w:szCs w:val="24"/>
          <w:lang w:bidi="he-IL"/>
        </w:rPr>
        <w:t>of Lazarus does not release all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tension </w:t>
      </w:r>
      <w:r w:rsidR="00913B4E">
        <w:rPr>
          <w:rFonts w:ascii="Gentium Book Basic" w:hAnsi="Gentium Book Basic" w:cs="Arial"/>
          <w:sz w:val="24"/>
          <w:szCs w:val="24"/>
          <w:lang w:bidi="he-IL"/>
        </w:rPr>
        <w:t xml:space="preserve">from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this narrative, however. “Many” believe in Jesus, while “some” report this event to the Pharisees (11:45–46). In council, the high priests and Pharisees acknowledge that Jesus’ signs </w:t>
      </w:r>
      <w:r w:rsidR="00913B4E">
        <w:rPr>
          <w:rFonts w:ascii="Gentium Book Basic" w:hAnsi="Gentium Book Basic" w:cs="Arial"/>
          <w:sz w:val="24"/>
          <w:szCs w:val="24"/>
          <w:lang w:bidi="he-IL"/>
        </w:rPr>
        <w:t xml:space="preserve">will cause many to believe, which could potentially lead to their own removal from power by the Romans (11:47–48). It is at this moment </w:t>
      </w:r>
      <w:r w:rsidR="005B043B">
        <w:rPr>
          <w:rFonts w:ascii="Gentium Book Basic" w:hAnsi="Gentium Book Basic" w:cs="Arial"/>
          <w:sz w:val="24"/>
          <w:szCs w:val="24"/>
          <w:lang w:bidi="he-IL"/>
        </w:rPr>
        <w:t xml:space="preserve">that the high priest Caiaphas speaks, arguing with unwitting prescience that Jesus’ death is </w:t>
      </w:r>
      <w:r w:rsidR="005B043B">
        <w:rPr>
          <w:rFonts w:ascii="Gentium Book Basic" w:hAnsi="Gentium Book Basic" w:cs="Arial"/>
          <w:i/>
          <w:iCs/>
          <w:sz w:val="24"/>
          <w:szCs w:val="24"/>
          <w:lang w:bidi="he-IL"/>
        </w:rPr>
        <w:t>necessary</w:t>
      </w:r>
      <w:r w:rsidR="005B043B">
        <w:rPr>
          <w:rFonts w:ascii="Gentium Book Basic" w:hAnsi="Gentium Book Basic" w:cs="Arial"/>
          <w:sz w:val="24"/>
          <w:szCs w:val="24"/>
          <w:lang w:bidi="he-IL"/>
        </w:rPr>
        <w:t xml:space="preserve"> for the survival of the nation (11:49–50)—a statement which John interprets theologically to describe Jesus’ substitutionary atonement for all peoples (11:51–52). The chapter then ends in a point of elevated tension, as the Jews in Jerusalem seek Jesus during the Passover feast (11:55–57).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2323A4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223801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23801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FF5BB9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FF5BB9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B4716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B4716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7: T</w:t>
      </w:r>
      <w:r w:rsidR="00CE5834" w:rsidRPr="00B4716B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h</w:t>
      </w:r>
      <w:r w:rsidRPr="00B4716B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FF5BB9" w:rsidRDefault="00FF5BB9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13A6B" w:rsidRPr="00957141" w:rsidRDefault="00F83199" w:rsidP="008C1E8A">
      <w:pPr>
        <w:pStyle w:val="Question"/>
      </w:pPr>
      <w:r w:rsidRPr="00957141">
        <w:t xml:space="preserve">On the surface, Jesus’ statement in 11:14 </w:t>
      </w:r>
      <w:r w:rsidR="00380EE5" w:rsidRPr="00957141">
        <w:t>appear</w:t>
      </w:r>
      <w:r w:rsidR="008C1E8A">
        <w:t>s</w:t>
      </w:r>
      <w:r w:rsidR="00380EE5" w:rsidRPr="00957141">
        <w:t xml:space="preserve"> to contradict</w:t>
      </w:r>
      <w:r w:rsidRPr="00957141">
        <w:t xml:space="preserve"> his prediction in 11:4. If you </w:t>
      </w:r>
      <w:r w:rsidR="008C1E8A">
        <w:t>did not have the</w:t>
      </w:r>
      <w:r w:rsidR="00957141" w:rsidRPr="00957141">
        <w:t xml:space="preserve"> benefit of hindsight</w:t>
      </w:r>
      <w:r w:rsidRPr="00957141">
        <w:t xml:space="preserve">, how might you have </w:t>
      </w:r>
      <w:r w:rsidR="00957141" w:rsidRPr="00957141">
        <w:t>reconciled</w:t>
      </w:r>
      <w:r w:rsidRPr="00957141">
        <w:t xml:space="preserve"> this apparent contradiction? </w:t>
      </w:r>
    </w:p>
    <w:p w:rsidR="00553B2D" w:rsidRPr="00A76EF2" w:rsidRDefault="00957141" w:rsidP="00957141">
      <w:pPr>
        <w:pStyle w:val="Lines"/>
        <w:tabs>
          <w:tab w:val="left" w:pos="8085"/>
        </w:tabs>
      </w:pPr>
      <w:r>
        <w:tab/>
      </w: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CC176E" w:rsidRDefault="00F83199" w:rsidP="00380EE5">
      <w:pPr>
        <w:pStyle w:val="Question"/>
      </w:pPr>
      <w:r>
        <w:t xml:space="preserve">What might Martha expect Jesus </w:t>
      </w:r>
      <w:r w:rsidR="00380EE5">
        <w:t xml:space="preserve">to </w:t>
      </w:r>
      <w:r>
        <w:t>do, now that Lazarus has died in 11:21–22? Compare this statement with her responses to Jesus in 11:24, 27. Do you think that she expected Jesus to raise Lazarus from the dead?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80EE5" w:rsidRDefault="00380EE5" w:rsidP="00380EE5">
      <w:pPr>
        <w:pStyle w:val="Question"/>
      </w:pPr>
      <w:r>
        <w:t xml:space="preserve">What does it mean for Jesus to </w:t>
      </w:r>
      <w:r>
        <w:rPr>
          <w:i/>
          <w:iCs/>
        </w:rPr>
        <w:t>be</w:t>
      </w:r>
      <w:r>
        <w:t xml:space="preserve"> “the resurrection and the life” (11:25)?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957141" w:rsidRDefault="00957141" w:rsidP="00957141">
      <w:pPr>
        <w:pStyle w:val="Question"/>
      </w:pPr>
      <w:r>
        <w:t>Compare 11:27 with 20:31. What does this statement tell us about Martha’s faith?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380EE5" w:rsidRDefault="00380EE5" w:rsidP="00380EE5">
      <w:pPr>
        <w:pStyle w:val="Question"/>
      </w:pPr>
      <w:r>
        <w:t>What does the statement in 11:37 tell us about the expectations of the crowd?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C34F31" w:rsidP="00C34F31">
      <w:pPr>
        <w:pStyle w:val="Question"/>
      </w:pPr>
      <w:r>
        <w:t>How could it be possible for people who had seen such a spectacular miracle to reject Jesus as sent from the Father and inform the Pharisees of this event (11:46–47)?</w:t>
      </w:r>
    </w:p>
    <w:p w:rsidR="00F0296F" w:rsidRPr="00F0296F" w:rsidRDefault="00BF4BA7" w:rsidP="00BF4BA7">
      <w:pPr>
        <w:pStyle w:val="Lines"/>
        <w:tabs>
          <w:tab w:val="left" w:pos="6675"/>
        </w:tabs>
      </w:pPr>
      <w:r>
        <w:tab/>
      </w: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913839" w:rsidRDefault="00957141" w:rsidP="00957141">
      <w:pPr>
        <w:pStyle w:val="Question"/>
      </w:pPr>
      <w:r>
        <w:t xml:space="preserve">Consider 1 Corinthians 15:3–20, which describes the resurrection as central to the Christian faith. In what sense then, does </w:t>
      </w:r>
      <w:proofErr w:type="gramStart"/>
      <w:r>
        <w:t>this event have</w:t>
      </w:r>
      <w:proofErr w:type="gramEnd"/>
      <w:r>
        <w:t xml:space="preserve"> broader implications beyond merely motivating the Jewish authorities to seek Jesus’ death?</w:t>
      </w:r>
    </w:p>
    <w:p w:rsidR="00913839" w:rsidRPr="00F0296F" w:rsidRDefault="00913839" w:rsidP="00913839">
      <w:pPr>
        <w:pStyle w:val="Lines"/>
      </w:pPr>
    </w:p>
    <w:p w:rsidR="00913839" w:rsidRDefault="00913839" w:rsidP="00913839">
      <w:pPr>
        <w:pStyle w:val="Lines"/>
      </w:pPr>
    </w:p>
    <w:p w:rsidR="00913839" w:rsidRDefault="00913839" w:rsidP="00913839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C5F" w:rsidRDefault="004B2C5F" w:rsidP="001E73CB">
      <w:r>
        <w:separator/>
      </w:r>
    </w:p>
  </w:endnote>
  <w:endnote w:type="continuationSeparator" w:id="0">
    <w:p w:rsidR="004B2C5F" w:rsidRDefault="004B2C5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C5F" w:rsidRDefault="004B2C5F" w:rsidP="001E73CB">
      <w:r>
        <w:separator/>
      </w:r>
    </w:p>
  </w:footnote>
  <w:footnote w:type="continuationSeparator" w:id="0">
    <w:p w:rsidR="004B2C5F" w:rsidRDefault="004B2C5F" w:rsidP="001E73CB">
      <w:r>
        <w:continuationSeparator/>
      </w:r>
    </w:p>
  </w:footnote>
  <w:footnote w:id="1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40972"/>
    <w:rsid w:val="00041496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111C42"/>
    <w:rsid w:val="00113A6B"/>
    <w:rsid w:val="00117243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0F9B"/>
    <w:rsid w:val="00262F2C"/>
    <w:rsid w:val="002631C0"/>
    <w:rsid w:val="00263609"/>
    <w:rsid w:val="00270ABC"/>
    <w:rsid w:val="00271CDD"/>
    <w:rsid w:val="002804DA"/>
    <w:rsid w:val="00281D4E"/>
    <w:rsid w:val="00294F81"/>
    <w:rsid w:val="00296541"/>
    <w:rsid w:val="002B2605"/>
    <w:rsid w:val="002C775E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2851"/>
    <w:rsid w:val="00323467"/>
    <w:rsid w:val="00325078"/>
    <w:rsid w:val="00327492"/>
    <w:rsid w:val="003426B0"/>
    <w:rsid w:val="00344722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4BF5"/>
    <w:rsid w:val="0038797C"/>
    <w:rsid w:val="0039691C"/>
    <w:rsid w:val="003A580D"/>
    <w:rsid w:val="003B000B"/>
    <w:rsid w:val="003B3CA7"/>
    <w:rsid w:val="003B65BD"/>
    <w:rsid w:val="003B6C0E"/>
    <w:rsid w:val="003D036B"/>
    <w:rsid w:val="003D1971"/>
    <w:rsid w:val="003D405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34DD"/>
    <w:rsid w:val="004344D3"/>
    <w:rsid w:val="00436B6F"/>
    <w:rsid w:val="00446481"/>
    <w:rsid w:val="004523E5"/>
    <w:rsid w:val="004578C8"/>
    <w:rsid w:val="00474A83"/>
    <w:rsid w:val="004824FF"/>
    <w:rsid w:val="0048413A"/>
    <w:rsid w:val="004857A9"/>
    <w:rsid w:val="00494592"/>
    <w:rsid w:val="00494C26"/>
    <w:rsid w:val="004B0723"/>
    <w:rsid w:val="004B2C5F"/>
    <w:rsid w:val="004C0373"/>
    <w:rsid w:val="004C21B4"/>
    <w:rsid w:val="004C349B"/>
    <w:rsid w:val="004D7F28"/>
    <w:rsid w:val="004E09FF"/>
    <w:rsid w:val="004E634B"/>
    <w:rsid w:val="004F421C"/>
    <w:rsid w:val="004F65A2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E7AF4"/>
    <w:rsid w:val="005F0A55"/>
    <w:rsid w:val="005F0B95"/>
    <w:rsid w:val="006004FD"/>
    <w:rsid w:val="0060395B"/>
    <w:rsid w:val="00606CD6"/>
    <w:rsid w:val="0061064D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59BF"/>
    <w:rsid w:val="00670FF0"/>
    <w:rsid w:val="006715F8"/>
    <w:rsid w:val="006761AD"/>
    <w:rsid w:val="006802CC"/>
    <w:rsid w:val="0068159D"/>
    <w:rsid w:val="0068197A"/>
    <w:rsid w:val="00683A6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4997"/>
    <w:rsid w:val="00724C64"/>
    <w:rsid w:val="00726FA1"/>
    <w:rsid w:val="00727E17"/>
    <w:rsid w:val="007360B7"/>
    <w:rsid w:val="00740D09"/>
    <w:rsid w:val="007526C5"/>
    <w:rsid w:val="00754A80"/>
    <w:rsid w:val="00755CBE"/>
    <w:rsid w:val="0075693E"/>
    <w:rsid w:val="00757B44"/>
    <w:rsid w:val="00762305"/>
    <w:rsid w:val="00763981"/>
    <w:rsid w:val="00770895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5650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50C"/>
    <w:rsid w:val="0083382E"/>
    <w:rsid w:val="00836F7E"/>
    <w:rsid w:val="008403E9"/>
    <w:rsid w:val="008457E1"/>
    <w:rsid w:val="0084735C"/>
    <w:rsid w:val="008503A5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1E8A"/>
    <w:rsid w:val="008C2FA9"/>
    <w:rsid w:val="008C78F0"/>
    <w:rsid w:val="008D1686"/>
    <w:rsid w:val="008D4BA0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3839"/>
    <w:rsid w:val="00913B4E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E2F"/>
    <w:rsid w:val="00967837"/>
    <w:rsid w:val="00980790"/>
    <w:rsid w:val="00982091"/>
    <w:rsid w:val="0098254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C37"/>
    <w:rsid w:val="00A14F63"/>
    <w:rsid w:val="00A219EC"/>
    <w:rsid w:val="00A22D2B"/>
    <w:rsid w:val="00A244A1"/>
    <w:rsid w:val="00A34FB4"/>
    <w:rsid w:val="00A35371"/>
    <w:rsid w:val="00A410BC"/>
    <w:rsid w:val="00A46607"/>
    <w:rsid w:val="00A47C95"/>
    <w:rsid w:val="00A50088"/>
    <w:rsid w:val="00A50496"/>
    <w:rsid w:val="00A505D7"/>
    <w:rsid w:val="00A508BA"/>
    <w:rsid w:val="00A51795"/>
    <w:rsid w:val="00A55949"/>
    <w:rsid w:val="00A605BB"/>
    <w:rsid w:val="00A6140A"/>
    <w:rsid w:val="00A63F07"/>
    <w:rsid w:val="00A7087E"/>
    <w:rsid w:val="00A72EA2"/>
    <w:rsid w:val="00A76267"/>
    <w:rsid w:val="00A76EF2"/>
    <w:rsid w:val="00A82047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B057F"/>
    <w:rsid w:val="00AB23AD"/>
    <w:rsid w:val="00AC065D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57AD"/>
    <w:rsid w:val="00B46D05"/>
    <w:rsid w:val="00B4716B"/>
    <w:rsid w:val="00B47CFB"/>
    <w:rsid w:val="00B52BBD"/>
    <w:rsid w:val="00B52CC3"/>
    <w:rsid w:val="00B55BE0"/>
    <w:rsid w:val="00B60664"/>
    <w:rsid w:val="00B63A57"/>
    <w:rsid w:val="00B65CE8"/>
    <w:rsid w:val="00B675C5"/>
    <w:rsid w:val="00B70EF8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2765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6A0C"/>
    <w:rsid w:val="00D1740E"/>
    <w:rsid w:val="00D2159D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387"/>
    <w:rsid w:val="00DC28EA"/>
    <w:rsid w:val="00DC32D5"/>
    <w:rsid w:val="00DD020E"/>
    <w:rsid w:val="00DD2F28"/>
    <w:rsid w:val="00DD43A7"/>
    <w:rsid w:val="00DD78D6"/>
    <w:rsid w:val="00DE1D1E"/>
    <w:rsid w:val="00DE1DA1"/>
    <w:rsid w:val="00DE6B92"/>
    <w:rsid w:val="00DF3836"/>
    <w:rsid w:val="00DF7FCD"/>
    <w:rsid w:val="00E01068"/>
    <w:rsid w:val="00E059CE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A4DC4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51548"/>
    <w:rsid w:val="00F51C5F"/>
    <w:rsid w:val="00F547A3"/>
    <w:rsid w:val="00F56CA0"/>
    <w:rsid w:val="00F5755C"/>
    <w:rsid w:val="00F57D2D"/>
    <w:rsid w:val="00F61D12"/>
    <w:rsid w:val="00F64135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C7C08"/>
    <w:rsid w:val="00FD0494"/>
    <w:rsid w:val="00FD2B43"/>
    <w:rsid w:val="00FD50E7"/>
    <w:rsid w:val="00FD52C3"/>
    <w:rsid w:val="00FE2842"/>
    <w:rsid w:val="00FE386B"/>
    <w:rsid w:val="00FE4F29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27B3ACE-72A6-4FD5-9D12-96864393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21</cp:revision>
  <cp:lastPrinted>2015-02-06T22:02:00Z</cp:lastPrinted>
  <dcterms:created xsi:type="dcterms:W3CDTF">2015-01-27T03:31:00Z</dcterms:created>
  <dcterms:modified xsi:type="dcterms:W3CDTF">2015-02-06T22:02:00Z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