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903723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FF5BB9">
        <w:rPr>
          <w:rFonts w:ascii="Gentium Book Basic" w:hAnsi="Gentium Book Basic" w:cs="Times New Roman"/>
          <w:b/>
          <w:sz w:val="28"/>
          <w:szCs w:val="28"/>
        </w:rPr>
        <w:t>1</w:t>
      </w:r>
      <w:r w:rsidR="00903723">
        <w:rPr>
          <w:rFonts w:ascii="Gentium Book Basic" w:hAnsi="Gentium Book Basic" w:cs="Times New Roman"/>
          <w:b/>
          <w:sz w:val="28"/>
          <w:szCs w:val="28"/>
        </w:rPr>
        <w:t>5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7151D8">
        <w:rPr>
          <w:rFonts w:ascii="Gentium Book Basic" w:hAnsi="Gentium Book Basic" w:cs="Times New Roman"/>
          <w:b/>
          <w:sz w:val="28"/>
          <w:szCs w:val="28"/>
        </w:rPr>
        <w:t>1</w:t>
      </w:r>
      <w:r w:rsidR="00903723">
        <w:rPr>
          <w:rFonts w:ascii="Gentium Book Basic" w:hAnsi="Gentium Book Basic" w:cs="Times New Roman"/>
          <w:b/>
          <w:sz w:val="28"/>
          <w:szCs w:val="28"/>
        </w:rPr>
        <w:t>4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735DFD">
        <w:rPr>
          <w:rFonts w:ascii="Gentium Book Basic" w:hAnsi="Gentium Book Basic" w:cs="Times New Roman"/>
          <w:b/>
          <w:sz w:val="28"/>
          <w:szCs w:val="28"/>
        </w:rPr>
        <w:t>38</w:t>
      </w:r>
    </w:p>
    <w:p w:rsidR="00903723" w:rsidRPr="00903723" w:rsidRDefault="00D30FF8" w:rsidP="0082288C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D44CFE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In chapter 14, Jesus continues the </w:t>
      </w:r>
      <w:r w:rsidR="00686A79">
        <w:rPr>
          <w:rFonts w:ascii="Gentium Book Basic" w:hAnsi="Gentium Book Basic" w:cs="Arial"/>
          <w:sz w:val="24"/>
          <w:szCs w:val="24"/>
          <w:lang w:bidi="he-IL"/>
        </w:rPr>
        <w:t>F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arewell Discourse. Following the conversation about his departure begun in 13:31, Jesus </w:t>
      </w:r>
      <w:r w:rsidR="00686A79">
        <w:rPr>
          <w:rFonts w:ascii="Gentium Book Basic" w:hAnsi="Gentium Book Basic" w:cs="Arial"/>
          <w:sz w:val="24"/>
          <w:szCs w:val="24"/>
          <w:lang w:bidi="he-IL"/>
        </w:rPr>
        <w:t xml:space="preserve">now 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>focus</w:t>
      </w:r>
      <w:r w:rsidR="00686A79">
        <w:rPr>
          <w:rFonts w:ascii="Gentium Book Basic" w:hAnsi="Gentium Book Basic" w:cs="Arial"/>
          <w:sz w:val="24"/>
          <w:szCs w:val="24"/>
          <w:lang w:bidi="he-IL"/>
        </w:rPr>
        <w:t>es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 on his coming departure in 14:1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>14. He explains that his disciples will someday have access to new</w:t>
      </w:r>
      <w:r w:rsidR="00686A79">
        <w:rPr>
          <w:rFonts w:ascii="Gentium Book Basic" w:hAnsi="Gentium Book Basic" w:cs="Arial"/>
          <w:sz w:val="24"/>
          <w:szCs w:val="24"/>
          <w:lang w:bidi="he-IL"/>
        </w:rPr>
        <w:t xml:space="preserve"> heavenly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 dwellings (14:1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4), an exclusive privilege granted to those who accept him as 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“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>the way, the truth, and the life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”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 (14:6). Their privileged status as Jesus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’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 followers grants them much more than a future hope of glory, however. Through their relationship with Jesus, they have a relationship with the Father that includes benefits in the present, </w:t>
      </w:r>
      <w:r w:rsidR="0082288C">
        <w:rPr>
          <w:rFonts w:ascii="Gentium Book Basic" w:hAnsi="Gentium Book Basic" w:cs="Arial"/>
          <w:sz w:val="24"/>
          <w:szCs w:val="24"/>
          <w:lang w:bidi="he-IL"/>
        </w:rPr>
        <w:t>such as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 the ability to do the Father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’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s works and the </w:t>
      </w:r>
      <w:r w:rsidR="0082288C">
        <w:rPr>
          <w:rFonts w:ascii="Gentium Book Basic" w:hAnsi="Gentium Book Basic" w:cs="Arial"/>
          <w:sz w:val="24"/>
          <w:szCs w:val="24"/>
          <w:lang w:bidi="he-IL"/>
        </w:rPr>
        <w:t>assurance of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82288C">
        <w:rPr>
          <w:rFonts w:ascii="Gentium Book Basic" w:hAnsi="Gentium Book Basic" w:cs="Arial"/>
          <w:sz w:val="24"/>
          <w:szCs w:val="24"/>
          <w:lang w:bidi="he-IL"/>
        </w:rPr>
        <w:t>effectual prayer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 xml:space="preserve"> (14:9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903723" w:rsidRPr="00903723">
        <w:rPr>
          <w:rFonts w:ascii="Gentium Book Basic" w:hAnsi="Gentium Book Basic" w:cs="Arial"/>
          <w:sz w:val="24"/>
          <w:szCs w:val="24"/>
          <w:lang w:bidi="he-IL"/>
        </w:rPr>
        <w:t>14).</w:t>
      </w:r>
    </w:p>
    <w:p w:rsidR="0057394E" w:rsidRPr="00903723" w:rsidRDefault="00903723" w:rsidP="00010D61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903723">
        <w:rPr>
          <w:rFonts w:ascii="Gentium Book Basic" w:hAnsi="Gentium Book Basic" w:cs="Arial"/>
          <w:sz w:val="24"/>
          <w:szCs w:val="24"/>
          <w:lang w:bidi="he-IL"/>
        </w:rPr>
        <w:t>As followers, disciples are responsible to keep Jesus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commandments (14:15). This is made possible by Jesus</w:t>
      </w:r>
      <w:r w:rsidR="0082288C">
        <w:rPr>
          <w:rFonts w:ascii="Gentium Book Basic" w:hAnsi="Gentium Book Basic" w:cs="Arial"/>
          <w:sz w:val="24"/>
          <w:szCs w:val="24"/>
          <w:lang w:bidi="he-IL"/>
        </w:rPr>
        <w:t xml:space="preserve">’ promise 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to request the Father to send them 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another Helper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(</w:t>
      </w:r>
      <w:proofErr w:type="spellStart"/>
      <w:r w:rsidR="002B51FD" w:rsidRPr="002B51FD">
        <w:rPr>
          <w:rFonts w:ascii="Gentium Book Basic" w:hAnsi="Gentium Book Basic" w:cs="Arial"/>
          <w:i/>
          <w:iCs/>
          <w:sz w:val="24"/>
          <w:szCs w:val="24"/>
          <w:lang w:bidi="he-IL"/>
        </w:rPr>
        <w:t>paráklētos</w:t>
      </w:r>
      <w:proofErr w:type="spellEnd"/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) who will 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abide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(</w:t>
      </w:r>
      <w:proofErr w:type="spellStart"/>
      <w:r w:rsidR="002B51FD" w:rsidRPr="002B51FD">
        <w:rPr>
          <w:rFonts w:ascii="Gentium Book Basic" w:hAnsi="Gentium Book Basic" w:cs="Arial"/>
          <w:i/>
          <w:iCs/>
          <w:sz w:val="24"/>
          <w:szCs w:val="24"/>
          <w:lang w:bidi="he-IL"/>
        </w:rPr>
        <w:t>ménō</w:t>
      </w:r>
      <w:proofErr w:type="spellEnd"/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, meaning 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remain, stay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) with them 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forever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(14:16). In this promise, Jesus refers to the indwelling work of the Holy Spirit, which </w:t>
      </w:r>
      <w:r w:rsidR="0082288C">
        <w:rPr>
          <w:rFonts w:ascii="Gentium Book Basic" w:hAnsi="Gentium Book Basic" w:cs="Arial"/>
          <w:sz w:val="24"/>
          <w:szCs w:val="24"/>
          <w:lang w:bidi="he-IL"/>
        </w:rPr>
        <w:t xml:space="preserve">occurred </w:t>
      </w:r>
      <w:r w:rsidR="00753FB8">
        <w:rPr>
          <w:rFonts w:ascii="Gentium Book Basic" w:hAnsi="Gentium Book Basic" w:cs="Arial"/>
          <w:sz w:val="24"/>
          <w:szCs w:val="24"/>
          <w:lang w:bidi="he-IL"/>
        </w:rPr>
        <w:t>first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at Pentecost and </w:t>
      </w:r>
      <w:r w:rsidR="00753FB8">
        <w:rPr>
          <w:rFonts w:ascii="Gentium Book Basic" w:hAnsi="Gentium Book Basic" w:cs="Arial"/>
          <w:sz w:val="24"/>
          <w:szCs w:val="24"/>
          <w:lang w:bidi="he-IL"/>
        </w:rPr>
        <w:t xml:space="preserve">consistently </w:t>
      </w:r>
      <w:r w:rsidR="0082288C">
        <w:rPr>
          <w:rFonts w:ascii="Gentium Book Basic" w:hAnsi="Gentium Book Basic" w:cs="Arial"/>
          <w:sz w:val="24"/>
          <w:szCs w:val="24"/>
          <w:lang w:bidi="he-IL"/>
        </w:rPr>
        <w:t>in</w:t>
      </w:r>
      <w:r w:rsidR="0082288C">
        <w:rPr>
          <w:rFonts w:ascii="Gentium Book Basic" w:hAnsi="Gentium Book Basic" w:cs="Arial"/>
          <w:sz w:val="24"/>
          <w:szCs w:val="24"/>
          <w:lang w:bidi="he-IL"/>
        </w:rPr>
        <w:t>dicates</w:t>
      </w:r>
      <w:r w:rsidR="0082288C" w:rsidRPr="00903723">
        <w:rPr>
          <w:rFonts w:ascii="Gentium Book Basic" w:hAnsi="Gentium Book Basic" w:cs="Arial"/>
          <w:sz w:val="24"/>
          <w:szCs w:val="24"/>
          <w:lang w:bidi="he-IL"/>
        </w:rPr>
        <w:t xml:space="preserve"> regeneration</w:t>
      </w:r>
      <w:r w:rsidR="0082288C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753FB8">
        <w:rPr>
          <w:rFonts w:ascii="Gentium Book Basic" w:hAnsi="Gentium Book Basic" w:cs="Arial"/>
          <w:sz w:val="24"/>
          <w:szCs w:val="24"/>
          <w:lang w:bidi="he-IL"/>
        </w:rPr>
        <w:t>in Scripture</w:t>
      </w:r>
      <w:r w:rsidR="008454BE" w:rsidRPr="00903723">
        <w:rPr>
          <w:rFonts w:ascii="Gentium Book Basic" w:hAnsi="Gentium Book Basic" w:cs="Arial"/>
          <w:sz w:val="24"/>
          <w:szCs w:val="24"/>
          <w:lang w:bidi="he-IL"/>
        </w:rPr>
        <w:t>.</w:t>
      </w:r>
      <w:r w:rsidR="008454BE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1"/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This indicative function of indwelling is foreshadowed here with the mention that this 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Spirit of truth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cannot be received by 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the world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in 14:17. Within the context of the Farewell Discourse, Jesus describes 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 xml:space="preserve">several aspects of 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the work of the </w:t>
      </w:r>
      <w:proofErr w:type="spellStart"/>
      <w:r w:rsidR="002B51FD" w:rsidRPr="002B51FD">
        <w:rPr>
          <w:rFonts w:ascii="Gentium Book Basic" w:hAnsi="Gentium Book Basic" w:cs="Arial"/>
          <w:i/>
          <w:iCs/>
          <w:sz w:val="24"/>
          <w:szCs w:val="24"/>
          <w:lang w:bidi="he-IL"/>
        </w:rPr>
        <w:t>paráklētos</w:t>
      </w:r>
      <w:proofErr w:type="spellEnd"/>
      <w:r w:rsidR="002B51FD">
        <w:rPr>
          <w:rFonts w:ascii="Gentium Book Basic" w:hAnsi="Gentium Book Basic" w:cs="Arial"/>
          <w:i/>
          <w:iCs/>
          <w:sz w:val="24"/>
          <w:szCs w:val="24"/>
          <w:lang w:bidi="he-IL"/>
        </w:rPr>
        <w:t>.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 xml:space="preserve"> He fills 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the void 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 xml:space="preserve">created 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by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57394E">
        <w:rPr>
          <w:rFonts w:ascii="Gentium Book Basic" w:hAnsi="Gentium Book Basic" w:cs="Arial"/>
          <w:sz w:val="24"/>
          <w:szCs w:val="24"/>
          <w:lang w:bidi="he-IL"/>
        </w:rPr>
        <w:t>Jesus</w:t>
      </w:r>
      <w:r w:rsidR="0057394E">
        <w:rPr>
          <w:rFonts w:ascii="Gentium Book Basic" w:hAnsi="Gentium Book Basic" w:cs="Arial"/>
          <w:sz w:val="24"/>
          <w:szCs w:val="24"/>
          <w:lang w:bidi="he-IL"/>
        </w:rPr>
        <w:t>’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 xml:space="preserve"> departure (14:17b–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18), 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 xml:space="preserve">he </w:t>
      </w:r>
      <w:r w:rsidR="0082288C">
        <w:rPr>
          <w:rFonts w:ascii="Gentium Book Basic" w:hAnsi="Gentium Book Basic" w:cs="Arial"/>
          <w:sz w:val="24"/>
          <w:szCs w:val="24"/>
          <w:lang w:bidi="he-IL"/>
        </w:rPr>
        <w:t>preserves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the disciples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favored relationship with the Father (14:21), 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 xml:space="preserve">he enables 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obedience to Jesus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word (14:23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24), and 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 xml:space="preserve">he provides 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instruction </w:t>
      </w:r>
      <w:r w:rsidR="00010D61">
        <w:rPr>
          <w:rFonts w:ascii="Gentium Book Basic" w:hAnsi="Gentium Book Basic" w:cs="Arial"/>
          <w:sz w:val="24"/>
          <w:szCs w:val="24"/>
          <w:lang w:bidi="he-IL"/>
        </w:rPr>
        <w:t xml:space="preserve">in 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all things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(including regarding the things that Jesus had said; 14:25</w:t>
      </w:r>
      <w:r w:rsidR="002B51FD"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>28). Jesus</w:t>
      </w:r>
      <w:r w:rsidR="00144147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903723">
        <w:rPr>
          <w:rFonts w:ascii="Gentium Book Basic" w:hAnsi="Gentium Book Basic" w:cs="Arial"/>
          <w:sz w:val="24"/>
          <w:szCs w:val="24"/>
          <w:lang w:bidi="he-IL"/>
        </w:rPr>
        <w:t xml:space="preserve"> rationale for telling the disciples these things</w:t>
      </w:r>
      <w:r w:rsidR="0057394E">
        <w:rPr>
          <w:rFonts w:ascii="Gentium Book Basic" w:hAnsi="Gentium Book Basic" w:cs="Arial"/>
          <w:sz w:val="24"/>
          <w:szCs w:val="24"/>
          <w:lang w:bidi="he-IL"/>
        </w:rPr>
        <w:t xml:space="preserve"> is twofold—he desires for them to </w:t>
      </w:r>
      <w:r w:rsidR="0057394E" w:rsidRPr="00903723">
        <w:rPr>
          <w:rFonts w:ascii="Gentium Book Basic" w:hAnsi="Gentium Book Basic" w:cs="Arial"/>
          <w:sz w:val="24"/>
          <w:szCs w:val="24"/>
          <w:lang w:bidi="he-IL"/>
        </w:rPr>
        <w:t>know (and consequently believe) when the gift of the </w:t>
      </w:r>
      <w:proofErr w:type="spellStart"/>
      <w:r w:rsidR="0057394E" w:rsidRPr="002B51FD">
        <w:rPr>
          <w:rFonts w:ascii="Gentium Book Basic" w:hAnsi="Gentium Book Basic" w:cs="Arial"/>
          <w:i/>
          <w:iCs/>
          <w:sz w:val="24"/>
          <w:szCs w:val="24"/>
          <w:lang w:bidi="he-IL"/>
        </w:rPr>
        <w:t>paráklētos</w:t>
      </w:r>
      <w:proofErr w:type="spellEnd"/>
      <w:r w:rsidR="0057394E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57394E" w:rsidRPr="00903723">
        <w:rPr>
          <w:rFonts w:ascii="Gentium Book Basic" w:hAnsi="Gentium Book Basic" w:cs="Arial"/>
          <w:sz w:val="24"/>
          <w:szCs w:val="24"/>
          <w:lang w:bidi="he-IL"/>
        </w:rPr>
        <w:t>has come</w:t>
      </w:r>
      <w:r w:rsidR="0057394E">
        <w:rPr>
          <w:rFonts w:ascii="Gentium Book Basic" w:hAnsi="Gentium Book Basic" w:cs="Arial"/>
          <w:sz w:val="24"/>
          <w:szCs w:val="24"/>
          <w:lang w:bidi="he-IL"/>
        </w:rPr>
        <w:t xml:space="preserve">, and he wants the </w:t>
      </w:r>
      <w:r w:rsidR="0057394E" w:rsidRPr="00903723">
        <w:rPr>
          <w:rFonts w:ascii="Gentium Book Basic" w:hAnsi="Gentium Book Basic" w:cs="Arial"/>
          <w:sz w:val="24"/>
          <w:szCs w:val="24"/>
          <w:lang w:bidi="he-IL"/>
        </w:rPr>
        <w:t xml:space="preserve">world </w:t>
      </w:r>
      <w:r w:rsidR="0057394E">
        <w:rPr>
          <w:rFonts w:ascii="Gentium Book Basic" w:hAnsi="Gentium Book Basic" w:cs="Arial"/>
          <w:sz w:val="24"/>
          <w:szCs w:val="24"/>
          <w:lang w:bidi="he-IL"/>
        </w:rPr>
        <w:t xml:space="preserve">to know </w:t>
      </w:r>
      <w:r w:rsidR="0057394E" w:rsidRPr="00903723">
        <w:rPr>
          <w:rFonts w:ascii="Gentium Book Basic" w:hAnsi="Gentium Book Basic" w:cs="Arial"/>
          <w:sz w:val="24"/>
          <w:szCs w:val="24"/>
          <w:lang w:bidi="he-IL"/>
        </w:rPr>
        <w:t xml:space="preserve">that </w:t>
      </w:r>
      <w:r w:rsidR="00010D61">
        <w:rPr>
          <w:rFonts w:ascii="Gentium Book Basic" w:hAnsi="Gentium Book Basic" w:cs="Arial"/>
          <w:sz w:val="24"/>
          <w:szCs w:val="24"/>
          <w:lang w:bidi="he-IL"/>
        </w:rPr>
        <w:t>he was</w:t>
      </w:r>
      <w:r w:rsidR="0057394E" w:rsidRPr="00903723">
        <w:rPr>
          <w:rFonts w:ascii="Gentium Book Basic" w:hAnsi="Gentium Book Basic" w:cs="Arial"/>
          <w:sz w:val="24"/>
          <w:szCs w:val="24"/>
          <w:lang w:bidi="he-IL"/>
        </w:rPr>
        <w:t xml:space="preserve"> faithful to the will of the Father in going to the cross</w:t>
      </w:r>
      <w:r w:rsidR="0057394E">
        <w:rPr>
          <w:rFonts w:ascii="Gentium Book Basic" w:hAnsi="Gentium Book Basic" w:cs="Arial"/>
          <w:sz w:val="24"/>
          <w:szCs w:val="24"/>
          <w:lang w:bidi="he-IL"/>
        </w:rPr>
        <w:t xml:space="preserve"> (</w:t>
      </w:r>
      <w:r w:rsidR="0057394E" w:rsidRPr="00903723">
        <w:rPr>
          <w:rFonts w:ascii="Gentium Book Basic" w:hAnsi="Gentium Book Basic" w:cs="Arial"/>
          <w:sz w:val="24"/>
          <w:szCs w:val="24"/>
          <w:lang w:bidi="he-IL"/>
        </w:rPr>
        <w:t>14:29</w:t>
      </w:r>
      <w:r w:rsidR="0057394E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57394E" w:rsidRPr="00903723">
        <w:rPr>
          <w:rFonts w:ascii="Gentium Book Basic" w:hAnsi="Gentium Book Basic" w:cs="Arial"/>
          <w:sz w:val="24"/>
          <w:szCs w:val="24"/>
          <w:lang w:bidi="he-IL"/>
        </w:rPr>
        <w:t>31</w:t>
      </w:r>
      <w:r w:rsidR="0057394E">
        <w:rPr>
          <w:rFonts w:ascii="Gentium Book Basic" w:hAnsi="Gentium Book Basic" w:cs="Arial"/>
          <w:sz w:val="24"/>
          <w:szCs w:val="24"/>
          <w:lang w:bidi="he-IL"/>
        </w:rPr>
        <w:t>)</w:t>
      </w:r>
      <w:r w:rsidR="0057394E" w:rsidRPr="00903723">
        <w:rPr>
          <w:rFonts w:ascii="Gentium Book Basic" w:hAnsi="Gentium Book Basic" w:cs="Arial"/>
          <w:sz w:val="24"/>
          <w:szCs w:val="24"/>
          <w:lang w:bidi="he-IL"/>
        </w:rPr>
        <w:t>.</w:t>
      </w:r>
    </w:p>
    <w:p w:rsidR="00774AC2" w:rsidRPr="00A55949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 w:rsidRPr="00A55949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 w:val="24"/>
          <w:szCs w:val="24"/>
          <w:lang w:bidi="he-IL"/>
        </w:rPr>
        <w:footnoteReference w:id="2"/>
      </w: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Inaugural Signs and Representative Conversations (2:1-4:54)</w:t>
      </w:r>
    </w:p>
    <w:p w:rsidR="00C53F38" w:rsidRPr="00B4716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B4716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735DFD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113128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Final Prayer (13-17)</w:t>
      </w:r>
    </w:p>
    <w:p w:rsidR="00735DFD" w:rsidRPr="00113128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13128">
        <w:rPr>
          <w:rFonts w:ascii="Gentium Book Basic" w:eastAsia="Times New Roman" w:hAnsi="Gentium Book Basic" w:cs="Times New Roman"/>
          <w:color w:val="000000"/>
          <w:lang w:bidi="he-IL"/>
        </w:rPr>
        <w:t>Cleansing the Community (13:1-30)</w:t>
      </w:r>
    </w:p>
    <w:p w:rsidR="00735DFD" w:rsidRPr="00735DFD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Farewell Discourse (13:31-16:33)</w:t>
      </w:r>
    </w:p>
    <w:p w:rsidR="00735DFD" w:rsidRPr="00735DFD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Jesus</w:t>
      </w:r>
      <w:r w:rsidR="00144147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’</w:t>
      </w:r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 xml:space="preserve"> Departure and Sending of the Spirit (13:31-14:31)</w:t>
      </w:r>
    </w:p>
    <w:p w:rsidR="00735DFD" w:rsidRPr="00735DFD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>Jesus the True Vine (15:1-17)</w:t>
      </w:r>
    </w:p>
    <w:p w:rsidR="00735DFD" w:rsidRPr="00735DFD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>The Spirit and the Disciples</w:t>
      </w:r>
      <w:r w:rsidR="00144147">
        <w:rPr>
          <w:rFonts w:ascii="Gentium Book Basic" w:eastAsia="Times New Roman" w:hAnsi="Gentium Book Basic" w:cs="Times New Roman"/>
          <w:color w:val="000000"/>
          <w:lang w:bidi="he-IL"/>
        </w:rPr>
        <w:t>’</w:t>
      </w: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 xml:space="preserve"> Witness to the World (15:18-16:33)</w:t>
      </w:r>
    </w:p>
    <w:p w:rsidR="00735DFD" w:rsidRPr="00735DFD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>Jesus</w:t>
      </w:r>
      <w:r w:rsidR="00144147">
        <w:rPr>
          <w:rFonts w:ascii="Gentium Book Basic" w:eastAsia="Times New Roman" w:hAnsi="Gentium Book Basic" w:cs="Times New Roman"/>
          <w:color w:val="000000"/>
          <w:lang w:bidi="he-IL"/>
        </w:rPr>
        <w:t>’</w:t>
      </w: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 xml:space="preserve"> Parting Prayer (17)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8950CF" w:rsidRDefault="008950CF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bookmarkStart w:id="0" w:name="_GoBack"/>
      <w:bookmarkEnd w:id="0"/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FB66DE" w:rsidRDefault="00113128" w:rsidP="0057394E">
      <w:pPr>
        <w:pStyle w:val="Question"/>
      </w:pPr>
      <w:r w:rsidRPr="00113128">
        <w:t xml:space="preserve">John 14:2 refers to many </w:t>
      </w:r>
      <w:r w:rsidR="00144147">
        <w:t>“</w:t>
      </w:r>
      <w:r w:rsidRPr="00113128">
        <w:t>mansions</w:t>
      </w:r>
      <w:r w:rsidR="00144147">
        <w:t>”</w:t>
      </w:r>
      <w:r w:rsidRPr="00113128">
        <w:t xml:space="preserve"> (KJV; NKJV) that are present in the Father</w:t>
      </w:r>
      <w:r w:rsidR="00144147">
        <w:t>’</w:t>
      </w:r>
      <w:r w:rsidRPr="00113128">
        <w:t xml:space="preserve">s house. How is this word translated in other versions? What does Jesus seem to be emphasizing </w:t>
      </w:r>
      <w:r w:rsidR="0057394E">
        <w:t>in this verse</w:t>
      </w:r>
      <w:r w:rsidRPr="00113128">
        <w:t>, and why?</w:t>
      </w:r>
    </w:p>
    <w:p w:rsidR="00553B2D" w:rsidRPr="00A76EF2" w:rsidRDefault="00553B2D" w:rsidP="00957141">
      <w:pPr>
        <w:pStyle w:val="Lines"/>
        <w:tabs>
          <w:tab w:val="left" w:pos="8085"/>
        </w:tabs>
      </w:pPr>
    </w:p>
    <w:p w:rsidR="00553B2D" w:rsidRPr="00A76EF2" w:rsidRDefault="00553B2D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FB66DE" w:rsidRPr="00957141" w:rsidRDefault="009575ED" w:rsidP="0096538E">
      <w:pPr>
        <w:pStyle w:val="Question"/>
      </w:pPr>
      <w:r>
        <w:t xml:space="preserve">What does Jesus emphasize with his description of himself as “the way” to the Father (14:4–6)? Why is this important for the disciples to </w:t>
      </w:r>
      <w:r w:rsidR="0096538E">
        <w:t>know</w:t>
      </w:r>
      <w:r>
        <w:t xml:space="preserve"> prior to the cross?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957141" w:rsidRDefault="009575ED" w:rsidP="0096538E">
      <w:pPr>
        <w:pStyle w:val="Question"/>
      </w:pPr>
      <w:r>
        <w:t xml:space="preserve">What does it mean for the Father to indwell the </w:t>
      </w:r>
      <w:proofErr w:type="gramStart"/>
      <w:r>
        <w:t>Son,</w:t>
      </w:r>
      <w:proofErr w:type="gramEnd"/>
      <w:r>
        <w:t xml:space="preserve"> and for the Son to indwell the Father (14:10–11)? What evidence does Jesus offer us if we struggle to understand </w:t>
      </w:r>
      <w:r w:rsidR="0096538E">
        <w:t>this</w:t>
      </w:r>
      <w:r w:rsidR="004B2AE4">
        <w:t>, and how is this helpful for explaining this relationship</w:t>
      </w:r>
      <w:r>
        <w:t xml:space="preserve"> (14:11</w:t>
      </w:r>
      <w:r w:rsidR="004B2AE4">
        <w:t>)?</w:t>
      </w:r>
    </w:p>
    <w:p w:rsidR="00957141" w:rsidRDefault="00957141" w:rsidP="00957141">
      <w:pPr>
        <w:pStyle w:val="Lines"/>
      </w:pPr>
    </w:p>
    <w:p w:rsidR="00957141" w:rsidRDefault="00957141" w:rsidP="00957141">
      <w:pPr>
        <w:pStyle w:val="Lines"/>
      </w:pPr>
    </w:p>
    <w:p w:rsidR="00957141" w:rsidRPr="00FF5BB9" w:rsidRDefault="00957141" w:rsidP="00957141">
      <w:pPr>
        <w:pStyle w:val="Lines"/>
      </w:pPr>
    </w:p>
    <w:p w:rsidR="00C0755D" w:rsidRDefault="00C12029" w:rsidP="0096538E">
      <w:pPr>
        <w:pStyle w:val="Question"/>
      </w:pPr>
      <w:r>
        <w:t xml:space="preserve">In what sense do believers </w:t>
      </w:r>
      <w:r w:rsidR="0096538E">
        <w:t>accomplish</w:t>
      </w:r>
      <w:r>
        <w:t xml:space="preserve"> </w:t>
      </w:r>
      <w:r w:rsidR="0096538E">
        <w:t xml:space="preserve">Jesus’ </w:t>
      </w:r>
      <w:r>
        <w:t>works (14:12)? How is doing his works connected with prayer (14:13–14)?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C0755D" w:rsidRDefault="003D4D6C" w:rsidP="003D4D6C">
      <w:pPr>
        <w:pStyle w:val="Question"/>
      </w:pPr>
      <w:r>
        <w:t>Who indwells believers, according to 14:17? Based on the near context, when should the disciples have expected this to occur? When does this occur now?</w:t>
      </w:r>
    </w:p>
    <w:p w:rsidR="00F0296F" w:rsidRPr="00F0296F" w:rsidRDefault="00F0296F" w:rsidP="00BF4BA7">
      <w:pPr>
        <w:pStyle w:val="Lines"/>
        <w:tabs>
          <w:tab w:val="left" w:pos="6675"/>
        </w:tabs>
      </w:pPr>
    </w:p>
    <w:p w:rsidR="00325078" w:rsidRDefault="00325078" w:rsidP="00325078">
      <w:pPr>
        <w:pStyle w:val="Lines"/>
      </w:pPr>
    </w:p>
    <w:p w:rsidR="00AC64B8" w:rsidRDefault="00AC64B8" w:rsidP="00325078">
      <w:pPr>
        <w:pStyle w:val="Lines"/>
      </w:pPr>
    </w:p>
    <w:p w:rsidR="00113128" w:rsidRDefault="003D4D6C" w:rsidP="0096538E">
      <w:pPr>
        <w:pStyle w:val="Question"/>
      </w:pPr>
      <w:r>
        <w:t xml:space="preserve">What does it mean for the Holy Spirit to “teach” </w:t>
      </w:r>
      <w:r w:rsidR="0096538E">
        <w:t xml:space="preserve">believers </w:t>
      </w:r>
      <w:r>
        <w:t>“all things” (14:26)?</w:t>
      </w:r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113128" w:rsidRDefault="003D4D6C" w:rsidP="00113128">
      <w:pPr>
        <w:pStyle w:val="Question"/>
      </w:pPr>
      <w:r>
        <w:t>What does it mean for the world to “know” that Jesus loves and obeys the Father in the cross (14:31)?</w:t>
      </w:r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113128" w:rsidRPr="00113128" w:rsidRDefault="00113128" w:rsidP="00113128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44147">
        <w:t>“</w:t>
      </w:r>
      <w:r w:rsidR="00501646">
        <w:t xml:space="preserve">his place in </w:t>
      </w:r>
      <w:r w:rsidR="00197109">
        <w:t>the sweep of redemptive history</w:t>
      </w:r>
      <w:r w:rsidR="00144147">
        <w:t>”</w:t>
      </w:r>
      <w:r w:rsidR="00197109">
        <w:t>?</w:t>
      </w:r>
      <w:r w:rsidR="00197109">
        <w:rPr>
          <w:rStyle w:val="FootnoteReference"/>
        </w:rPr>
        <w:footnoteReference w:id="3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F06" w:rsidRDefault="00DF2F06" w:rsidP="001E73CB">
      <w:r>
        <w:separator/>
      </w:r>
    </w:p>
  </w:endnote>
  <w:endnote w:type="continuationSeparator" w:id="0">
    <w:p w:rsidR="00DF2F06" w:rsidRDefault="00DF2F06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F06" w:rsidRDefault="00DF2F06" w:rsidP="001E73CB">
      <w:r>
        <w:separator/>
      </w:r>
    </w:p>
  </w:footnote>
  <w:footnote w:type="continuationSeparator" w:id="0">
    <w:p w:rsidR="00DF2F06" w:rsidRDefault="00DF2F06" w:rsidP="001E73CB">
      <w:r>
        <w:continuationSeparator/>
      </w:r>
    </w:p>
  </w:footnote>
  <w:footnote w:id="1">
    <w:p w:rsidR="008454BE" w:rsidRDefault="008454BE" w:rsidP="008454BE">
      <w:pPr>
        <w:pStyle w:val="FootnoteText"/>
      </w:pPr>
      <w:r>
        <w:rPr>
          <w:rStyle w:val="FootnoteReference"/>
        </w:rPr>
        <w:footnoteRef/>
      </w:r>
      <w:r>
        <w:t xml:space="preserve"> For example, see Acts 2:4, 38, 4:8, 31, 8:15, 9:17, </w:t>
      </w:r>
      <w:proofErr w:type="gramStart"/>
      <w:r>
        <w:t>13:52</w:t>
      </w:r>
      <w:proofErr w:type="gramEnd"/>
      <w:r>
        <w:t>, 19:2.</w:t>
      </w:r>
    </w:p>
  </w:footnote>
  <w:footnote w:id="2">
    <w:p w:rsidR="00C53F38" w:rsidRDefault="00C53F38" w:rsidP="002034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r w:rsidR="00FF22C2">
        <w:rPr>
          <w:rFonts w:cs="Times New Roman"/>
          <w:szCs w:val="24"/>
        </w:rPr>
        <w:t xml:space="preserve">Andreas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3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2"/>
  </w:num>
  <w:num w:numId="5">
    <w:abstractNumId w:val="19"/>
  </w:num>
  <w:num w:numId="6">
    <w:abstractNumId w:val="17"/>
  </w:num>
  <w:num w:numId="7">
    <w:abstractNumId w:val="18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4"/>
  </w:num>
  <w:num w:numId="18">
    <w:abstractNumId w:val="0"/>
  </w:num>
  <w:num w:numId="19">
    <w:abstractNumId w:val="16"/>
  </w:num>
  <w:num w:numId="20">
    <w:abstractNumId w:val="1"/>
  </w:num>
  <w:num w:numId="21">
    <w:abstractNumId w:val="15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D61"/>
    <w:rsid w:val="00010E62"/>
    <w:rsid w:val="0001209D"/>
    <w:rsid w:val="00020DC9"/>
    <w:rsid w:val="0002340E"/>
    <w:rsid w:val="00024A9B"/>
    <w:rsid w:val="0002552A"/>
    <w:rsid w:val="00025743"/>
    <w:rsid w:val="00033077"/>
    <w:rsid w:val="00034B6B"/>
    <w:rsid w:val="00037866"/>
    <w:rsid w:val="00040972"/>
    <w:rsid w:val="00041496"/>
    <w:rsid w:val="00044E44"/>
    <w:rsid w:val="000452EA"/>
    <w:rsid w:val="000466F3"/>
    <w:rsid w:val="00046FF8"/>
    <w:rsid w:val="00051777"/>
    <w:rsid w:val="000518F7"/>
    <w:rsid w:val="00054010"/>
    <w:rsid w:val="00060D56"/>
    <w:rsid w:val="000654BF"/>
    <w:rsid w:val="000659A4"/>
    <w:rsid w:val="00066029"/>
    <w:rsid w:val="0006635C"/>
    <w:rsid w:val="00076217"/>
    <w:rsid w:val="00080647"/>
    <w:rsid w:val="00080D04"/>
    <w:rsid w:val="00081C3C"/>
    <w:rsid w:val="00087533"/>
    <w:rsid w:val="000915FC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3C1C"/>
    <w:rsid w:val="000E4034"/>
    <w:rsid w:val="000E4666"/>
    <w:rsid w:val="000F54CC"/>
    <w:rsid w:val="00107471"/>
    <w:rsid w:val="00111C42"/>
    <w:rsid w:val="00113128"/>
    <w:rsid w:val="00113A6B"/>
    <w:rsid w:val="00117243"/>
    <w:rsid w:val="00117BF7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0621"/>
    <w:rsid w:val="00143B24"/>
    <w:rsid w:val="00144147"/>
    <w:rsid w:val="00145BF0"/>
    <w:rsid w:val="00147253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548C"/>
    <w:rsid w:val="0019285C"/>
    <w:rsid w:val="00192DC6"/>
    <w:rsid w:val="00196FCD"/>
    <w:rsid w:val="00197109"/>
    <w:rsid w:val="001A2AA8"/>
    <w:rsid w:val="001B24E3"/>
    <w:rsid w:val="001B4E86"/>
    <w:rsid w:val="001B6703"/>
    <w:rsid w:val="001C3452"/>
    <w:rsid w:val="001C7E92"/>
    <w:rsid w:val="001D0936"/>
    <w:rsid w:val="001D0C8F"/>
    <w:rsid w:val="001D6BDC"/>
    <w:rsid w:val="001E0244"/>
    <w:rsid w:val="001E3E55"/>
    <w:rsid w:val="001E73CB"/>
    <w:rsid w:val="001F2729"/>
    <w:rsid w:val="001F4645"/>
    <w:rsid w:val="002034F3"/>
    <w:rsid w:val="00213328"/>
    <w:rsid w:val="00213F1D"/>
    <w:rsid w:val="002140C8"/>
    <w:rsid w:val="0021496E"/>
    <w:rsid w:val="002163CA"/>
    <w:rsid w:val="00217A70"/>
    <w:rsid w:val="00220411"/>
    <w:rsid w:val="00223801"/>
    <w:rsid w:val="0022663D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6633"/>
    <w:rsid w:val="00260F9B"/>
    <w:rsid w:val="00262F2C"/>
    <w:rsid w:val="002631C0"/>
    <w:rsid w:val="00263609"/>
    <w:rsid w:val="00270ABC"/>
    <w:rsid w:val="00271CDD"/>
    <w:rsid w:val="0027783C"/>
    <w:rsid w:val="002804DA"/>
    <w:rsid w:val="00281D4E"/>
    <w:rsid w:val="00294F81"/>
    <w:rsid w:val="00296541"/>
    <w:rsid w:val="00297B5F"/>
    <w:rsid w:val="002B2605"/>
    <w:rsid w:val="002B51FD"/>
    <w:rsid w:val="002C775E"/>
    <w:rsid w:val="002C7ABF"/>
    <w:rsid w:val="002D5547"/>
    <w:rsid w:val="002D7D38"/>
    <w:rsid w:val="002E1016"/>
    <w:rsid w:val="002E18B7"/>
    <w:rsid w:val="002E6720"/>
    <w:rsid w:val="00300371"/>
    <w:rsid w:val="00302169"/>
    <w:rsid w:val="00303A64"/>
    <w:rsid w:val="00306356"/>
    <w:rsid w:val="0031184F"/>
    <w:rsid w:val="00312004"/>
    <w:rsid w:val="00320A0B"/>
    <w:rsid w:val="00321942"/>
    <w:rsid w:val="00322851"/>
    <w:rsid w:val="00323467"/>
    <w:rsid w:val="00325078"/>
    <w:rsid w:val="00327492"/>
    <w:rsid w:val="003426B0"/>
    <w:rsid w:val="00344722"/>
    <w:rsid w:val="003454CC"/>
    <w:rsid w:val="0035140F"/>
    <w:rsid w:val="00357EB4"/>
    <w:rsid w:val="003615DC"/>
    <w:rsid w:val="0036311A"/>
    <w:rsid w:val="00367F86"/>
    <w:rsid w:val="0037226E"/>
    <w:rsid w:val="003743C5"/>
    <w:rsid w:val="00376A20"/>
    <w:rsid w:val="00376F4C"/>
    <w:rsid w:val="00377DD0"/>
    <w:rsid w:val="00380758"/>
    <w:rsid w:val="00380EE5"/>
    <w:rsid w:val="00382EC9"/>
    <w:rsid w:val="00384BF5"/>
    <w:rsid w:val="0038797C"/>
    <w:rsid w:val="0039691C"/>
    <w:rsid w:val="003A580D"/>
    <w:rsid w:val="003B000B"/>
    <w:rsid w:val="003B3CA7"/>
    <w:rsid w:val="003B65BD"/>
    <w:rsid w:val="003B6C0E"/>
    <w:rsid w:val="003C05C7"/>
    <w:rsid w:val="003D036B"/>
    <w:rsid w:val="003D1971"/>
    <w:rsid w:val="003D405C"/>
    <w:rsid w:val="003D4D6C"/>
    <w:rsid w:val="003D7349"/>
    <w:rsid w:val="003E188A"/>
    <w:rsid w:val="003E292B"/>
    <w:rsid w:val="003E4277"/>
    <w:rsid w:val="003E4773"/>
    <w:rsid w:val="003E5D5E"/>
    <w:rsid w:val="003E6E7F"/>
    <w:rsid w:val="003F078D"/>
    <w:rsid w:val="003F5F5C"/>
    <w:rsid w:val="003F7CB9"/>
    <w:rsid w:val="0040596F"/>
    <w:rsid w:val="004100D6"/>
    <w:rsid w:val="00410CF6"/>
    <w:rsid w:val="00411B1B"/>
    <w:rsid w:val="004122A9"/>
    <w:rsid w:val="00420BBF"/>
    <w:rsid w:val="0042232C"/>
    <w:rsid w:val="00422D42"/>
    <w:rsid w:val="00431087"/>
    <w:rsid w:val="004334DD"/>
    <w:rsid w:val="004344D3"/>
    <w:rsid w:val="00436B6F"/>
    <w:rsid w:val="00446481"/>
    <w:rsid w:val="004523E5"/>
    <w:rsid w:val="004578C8"/>
    <w:rsid w:val="00474A83"/>
    <w:rsid w:val="004824FF"/>
    <w:rsid w:val="0048323C"/>
    <w:rsid w:val="0048413A"/>
    <w:rsid w:val="004857A9"/>
    <w:rsid w:val="00494592"/>
    <w:rsid w:val="00494C26"/>
    <w:rsid w:val="004A632F"/>
    <w:rsid w:val="004B0723"/>
    <w:rsid w:val="004B2AE4"/>
    <w:rsid w:val="004B2C5F"/>
    <w:rsid w:val="004C0373"/>
    <w:rsid w:val="004C21B4"/>
    <w:rsid w:val="004C349B"/>
    <w:rsid w:val="004D7F28"/>
    <w:rsid w:val="004E09FF"/>
    <w:rsid w:val="004E634B"/>
    <w:rsid w:val="004F421C"/>
    <w:rsid w:val="004F65A2"/>
    <w:rsid w:val="004F6CC3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26C27"/>
    <w:rsid w:val="00540C34"/>
    <w:rsid w:val="00540FF0"/>
    <w:rsid w:val="00543B76"/>
    <w:rsid w:val="00553B2D"/>
    <w:rsid w:val="00561FA2"/>
    <w:rsid w:val="00563C16"/>
    <w:rsid w:val="0057394E"/>
    <w:rsid w:val="0057434D"/>
    <w:rsid w:val="0058056D"/>
    <w:rsid w:val="005958D3"/>
    <w:rsid w:val="005A396E"/>
    <w:rsid w:val="005A5E41"/>
    <w:rsid w:val="005A6C9D"/>
    <w:rsid w:val="005B043B"/>
    <w:rsid w:val="005B0A39"/>
    <w:rsid w:val="005C1E9E"/>
    <w:rsid w:val="005C34A9"/>
    <w:rsid w:val="005C50DE"/>
    <w:rsid w:val="005D5308"/>
    <w:rsid w:val="005D722E"/>
    <w:rsid w:val="005E1279"/>
    <w:rsid w:val="005E47A0"/>
    <w:rsid w:val="005E6EA5"/>
    <w:rsid w:val="005E7AF4"/>
    <w:rsid w:val="005F0A55"/>
    <w:rsid w:val="005F0B95"/>
    <w:rsid w:val="006004FD"/>
    <w:rsid w:val="0060395B"/>
    <w:rsid w:val="00605028"/>
    <w:rsid w:val="00606CD6"/>
    <w:rsid w:val="0061064D"/>
    <w:rsid w:val="00612229"/>
    <w:rsid w:val="00613756"/>
    <w:rsid w:val="006165CA"/>
    <w:rsid w:val="00623AA1"/>
    <w:rsid w:val="006271A0"/>
    <w:rsid w:val="006314FC"/>
    <w:rsid w:val="006320B5"/>
    <w:rsid w:val="00632C87"/>
    <w:rsid w:val="006355F9"/>
    <w:rsid w:val="0063686E"/>
    <w:rsid w:val="0063775B"/>
    <w:rsid w:val="00640B3B"/>
    <w:rsid w:val="006431E8"/>
    <w:rsid w:val="00644537"/>
    <w:rsid w:val="006611DC"/>
    <w:rsid w:val="006659BF"/>
    <w:rsid w:val="00670FF0"/>
    <w:rsid w:val="006715F8"/>
    <w:rsid w:val="006761AD"/>
    <w:rsid w:val="006802CC"/>
    <w:rsid w:val="0068159D"/>
    <w:rsid w:val="0068197A"/>
    <w:rsid w:val="00683A69"/>
    <w:rsid w:val="00685E5A"/>
    <w:rsid w:val="00686A79"/>
    <w:rsid w:val="00686B27"/>
    <w:rsid w:val="006A517C"/>
    <w:rsid w:val="006A5A8D"/>
    <w:rsid w:val="006A6732"/>
    <w:rsid w:val="006B051C"/>
    <w:rsid w:val="006B0B48"/>
    <w:rsid w:val="006B7627"/>
    <w:rsid w:val="006C49CB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51D8"/>
    <w:rsid w:val="00715F75"/>
    <w:rsid w:val="00717DA3"/>
    <w:rsid w:val="00724997"/>
    <w:rsid w:val="00724C64"/>
    <w:rsid w:val="00726FA1"/>
    <w:rsid w:val="00727E17"/>
    <w:rsid w:val="00735DFD"/>
    <w:rsid w:val="007360B7"/>
    <w:rsid w:val="00740D09"/>
    <w:rsid w:val="007526C5"/>
    <w:rsid w:val="00753FB8"/>
    <w:rsid w:val="00754A80"/>
    <w:rsid w:val="00755CBE"/>
    <w:rsid w:val="0075693E"/>
    <w:rsid w:val="00757B44"/>
    <w:rsid w:val="00762305"/>
    <w:rsid w:val="00763981"/>
    <w:rsid w:val="00770895"/>
    <w:rsid w:val="00774AC2"/>
    <w:rsid w:val="007806D2"/>
    <w:rsid w:val="007814BC"/>
    <w:rsid w:val="00784486"/>
    <w:rsid w:val="007860AB"/>
    <w:rsid w:val="00786977"/>
    <w:rsid w:val="00787A53"/>
    <w:rsid w:val="00794183"/>
    <w:rsid w:val="007A23F7"/>
    <w:rsid w:val="007A7BA9"/>
    <w:rsid w:val="007B04B0"/>
    <w:rsid w:val="007B2633"/>
    <w:rsid w:val="007C20C1"/>
    <w:rsid w:val="007C2752"/>
    <w:rsid w:val="007C5650"/>
    <w:rsid w:val="007C7847"/>
    <w:rsid w:val="007D0EC9"/>
    <w:rsid w:val="007D3656"/>
    <w:rsid w:val="007E5680"/>
    <w:rsid w:val="007E56C0"/>
    <w:rsid w:val="007F5660"/>
    <w:rsid w:val="007F6BD6"/>
    <w:rsid w:val="00810678"/>
    <w:rsid w:val="008148F2"/>
    <w:rsid w:val="00817333"/>
    <w:rsid w:val="00817FD7"/>
    <w:rsid w:val="00820D20"/>
    <w:rsid w:val="00821900"/>
    <w:rsid w:val="0082288C"/>
    <w:rsid w:val="008308AA"/>
    <w:rsid w:val="008334F6"/>
    <w:rsid w:val="0083350C"/>
    <w:rsid w:val="0083382E"/>
    <w:rsid w:val="00836F7E"/>
    <w:rsid w:val="008403E9"/>
    <w:rsid w:val="008454BE"/>
    <w:rsid w:val="008457E1"/>
    <w:rsid w:val="0084735C"/>
    <w:rsid w:val="008503A5"/>
    <w:rsid w:val="0085179F"/>
    <w:rsid w:val="00860D50"/>
    <w:rsid w:val="00865E73"/>
    <w:rsid w:val="00870D1D"/>
    <w:rsid w:val="00875B45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950CF"/>
    <w:rsid w:val="008A062E"/>
    <w:rsid w:val="008A4953"/>
    <w:rsid w:val="008A4BB1"/>
    <w:rsid w:val="008A4DE0"/>
    <w:rsid w:val="008A60A3"/>
    <w:rsid w:val="008A633C"/>
    <w:rsid w:val="008A792E"/>
    <w:rsid w:val="008B1F6F"/>
    <w:rsid w:val="008B5909"/>
    <w:rsid w:val="008C1E8A"/>
    <w:rsid w:val="008C2FA9"/>
    <w:rsid w:val="008C78F0"/>
    <w:rsid w:val="008D1686"/>
    <w:rsid w:val="008D4BA0"/>
    <w:rsid w:val="008E3D56"/>
    <w:rsid w:val="008E50F2"/>
    <w:rsid w:val="008E5AA6"/>
    <w:rsid w:val="008F1572"/>
    <w:rsid w:val="008F1E7D"/>
    <w:rsid w:val="008F246F"/>
    <w:rsid w:val="008F3B30"/>
    <w:rsid w:val="008F4223"/>
    <w:rsid w:val="009003F8"/>
    <w:rsid w:val="00903723"/>
    <w:rsid w:val="00911090"/>
    <w:rsid w:val="009115AD"/>
    <w:rsid w:val="00913839"/>
    <w:rsid w:val="00913B4E"/>
    <w:rsid w:val="00916412"/>
    <w:rsid w:val="0091764D"/>
    <w:rsid w:val="009237F1"/>
    <w:rsid w:val="00927D90"/>
    <w:rsid w:val="00930052"/>
    <w:rsid w:val="00931070"/>
    <w:rsid w:val="00933326"/>
    <w:rsid w:val="009345C5"/>
    <w:rsid w:val="009368FC"/>
    <w:rsid w:val="0093727F"/>
    <w:rsid w:val="00951419"/>
    <w:rsid w:val="00951F02"/>
    <w:rsid w:val="00952B78"/>
    <w:rsid w:val="00956523"/>
    <w:rsid w:val="00957141"/>
    <w:rsid w:val="009575ED"/>
    <w:rsid w:val="00957E2F"/>
    <w:rsid w:val="00960B8E"/>
    <w:rsid w:val="0096538E"/>
    <w:rsid w:val="00967837"/>
    <w:rsid w:val="0097283D"/>
    <w:rsid w:val="00973763"/>
    <w:rsid w:val="00980790"/>
    <w:rsid w:val="00982091"/>
    <w:rsid w:val="0098254F"/>
    <w:rsid w:val="00990DDD"/>
    <w:rsid w:val="009934BB"/>
    <w:rsid w:val="009A1B5B"/>
    <w:rsid w:val="009A34D9"/>
    <w:rsid w:val="009B186D"/>
    <w:rsid w:val="009B4CF8"/>
    <w:rsid w:val="009C2C22"/>
    <w:rsid w:val="009C3B64"/>
    <w:rsid w:val="009C4C91"/>
    <w:rsid w:val="009D2FA2"/>
    <w:rsid w:val="009D3F6E"/>
    <w:rsid w:val="009D4EB6"/>
    <w:rsid w:val="009D6011"/>
    <w:rsid w:val="009E2957"/>
    <w:rsid w:val="009E7EE5"/>
    <w:rsid w:val="009F0DC1"/>
    <w:rsid w:val="009F1551"/>
    <w:rsid w:val="009F3608"/>
    <w:rsid w:val="009F3BEC"/>
    <w:rsid w:val="00A00CD6"/>
    <w:rsid w:val="00A031D3"/>
    <w:rsid w:val="00A107C4"/>
    <w:rsid w:val="00A12DC5"/>
    <w:rsid w:val="00A139BE"/>
    <w:rsid w:val="00A13C37"/>
    <w:rsid w:val="00A14F63"/>
    <w:rsid w:val="00A219EC"/>
    <w:rsid w:val="00A22D2B"/>
    <w:rsid w:val="00A244A1"/>
    <w:rsid w:val="00A34FB4"/>
    <w:rsid w:val="00A35371"/>
    <w:rsid w:val="00A410BC"/>
    <w:rsid w:val="00A42577"/>
    <w:rsid w:val="00A46607"/>
    <w:rsid w:val="00A47C95"/>
    <w:rsid w:val="00A50088"/>
    <w:rsid w:val="00A50496"/>
    <w:rsid w:val="00A505D7"/>
    <w:rsid w:val="00A508BA"/>
    <w:rsid w:val="00A51795"/>
    <w:rsid w:val="00A54169"/>
    <w:rsid w:val="00A55949"/>
    <w:rsid w:val="00A605BB"/>
    <w:rsid w:val="00A60913"/>
    <w:rsid w:val="00A6140A"/>
    <w:rsid w:val="00A636D4"/>
    <w:rsid w:val="00A63F07"/>
    <w:rsid w:val="00A7087E"/>
    <w:rsid w:val="00A72EA2"/>
    <w:rsid w:val="00A76267"/>
    <w:rsid w:val="00A76EF2"/>
    <w:rsid w:val="00A82047"/>
    <w:rsid w:val="00A873F1"/>
    <w:rsid w:val="00A876AC"/>
    <w:rsid w:val="00A905E6"/>
    <w:rsid w:val="00A90A6C"/>
    <w:rsid w:val="00A92363"/>
    <w:rsid w:val="00A92F9C"/>
    <w:rsid w:val="00A9674C"/>
    <w:rsid w:val="00AA01B1"/>
    <w:rsid w:val="00AA2BE1"/>
    <w:rsid w:val="00AA648A"/>
    <w:rsid w:val="00AB057F"/>
    <w:rsid w:val="00AB23AD"/>
    <w:rsid w:val="00AC065D"/>
    <w:rsid w:val="00AC06CC"/>
    <w:rsid w:val="00AC0B10"/>
    <w:rsid w:val="00AC2964"/>
    <w:rsid w:val="00AC3C8B"/>
    <w:rsid w:val="00AC64B8"/>
    <w:rsid w:val="00AD4156"/>
    <w:rsid w:val="00AD4195"/>
    <w:rsid w:val="00AD42F1"/>
    <w:rsid w:val="00AE71EF"/>
    <w:rsid w:val="00AF21F1"/>
    <w:rsid w:val="00AF7C1E"/>
    <w:rsid w:val="00B01C00"/>
    <w:rsid w:val="00B06A1E"/>
    <w:rsid w:val="00B07479"/>
    <w:rsid w:val="00B07C77"/>
    <w:rsid w:val="00B11C81"/>
    <w:rsid w:val="00B12E85"/>
    <w:rsid w:val="00B22DA0"/>
    <w:rsid w:val="00B33C06"/>
    <w:rsid w:val="00B40704"/>
    <w:rsid w:val="00B433F7"/>
    <w:rsid w:val="00B44A61"/>
    <w:rsid w:val="00B457AD"/>
    <w:rsid w:val="00B46D05"/>
    <w:rsid w:val="00B4716B"/>
    <w:rsid w:val="00B47CFB"/>
    <w:rsid w:val="00B52BBD"/>
    <w:rsid w:val="00B52CC3"/>
    <w:rsid w:val="00B55BE0"/>
    <w:rsid w:val="00B60664"/>
    <w:rsid w:val="00B63A57"/>
    <w:rsid w:val="00B65CE8"/>
    <w:rsid w:val="00B65DC9"/>
    <w:rsid w:val="00B675C5"/>
    <w:rsid w:val="00B70EF8"/>
    <w:rsid w:val="00B72305"/>
    <w:rsid w:val="00B73B11"/>
    <w:rsid w:val="00B75043"/>
    <w:rsid w:val="00B75495"/>
    <w:rsid w:val="00B75897"/>
    <w:rsid w:val="00B77F79"/>
    <w:rsid w:val="00B80397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A78"/>
    <w:rsid w:val="00BD5A7D"/>
    <w:rsid w:val="00BD60BD"/>
    <w:rsid w:val="00BD6D18"/>
    <w:rsid w:val="00BD7643"/>
    <w:rsid w:val="00BE2363"/>
    <w:rsid w:val="00BE24C6"/>
    <w:rsid w:val="00BE2765"/>
    <w:rsid w:val="00BE3BE4"/>
    <w:rsid w:val="00BE6388"/>
    <w:rsid w:val="00BE79DB"/>
    <w:rsid w:val="00BF178A"/>
    <w:rsid w:val="00BF1937"/>
    <w:rsid w:val="00BF1962"/>
    <w:rsid w:val="00BF1B4E"/>
    <w:rsid w:val="00BF4BA7"/>
    <w:rsid w:val="00BF53E2"/>
    <w:rsid w:val="00BF6038"/>
    <w:rsid w:val="00BF6404"/>
    <w:rsid w:val="00BF7E09"/>
    <w:rsid w:val="00C03B92"/>
    <w:rsid w:val="00C072DE"/>
    <w:rsid w:val="00C0755D"/>
    <w:rsid w:val="00C12029"/>
    <w:rsid w:val="00C1474A"/>
    <w:rsid w:val="00C20934"/>
    <w:rsid w:val="00C24F82"/>
    <w:rsid w:val="00C255A5"/>
    <w:rsid w:val="00C25694"/>
    <w:rsid w:val="00C27A75"/>
    <w:rsid w:val="00C27EA3"/>
    <w:rsid w:val="00C34F31"/>
    <w:rsid w:val="00C35605"/>
    <w:rsid w:val="00C42E6F"/>
    <w:rsid w:val="00C43A80"/>
    <w:rsid w:val="00C50D14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A70A9"/>
    <w:rsid w:val="00CB2BD4"/>
    <w:rsid w:val="00CB656D"/>
    <w:rsid w:val="00CB7ADD"/>
    <w:rsid w:val="00CC1419"/>
    <w:rsid w:val="00CC176E"/>
    <w:rsid w:val="00CD253A"/>
    <w:rsid w:val="00CD3976"/>
    <w:rsid w:val="00CD7114"/>
    <w:rsid w:val="00CD785A"/>
    <w:rsid w:val="00CE0F7F"/>
    <w:rsid w:val="00CE1C6A"/>
    <w:rsid w:val="00CE3183"/>
    <w:rsid w:val="00CE5834"/>
    <w:rsid w:val="00D017FC"/>
    <w:rsid w:val="00D038A0"/>
    <w:rsid w:val="00D05AF5"/>
    <w:rsid w:val="00D06873"/>
    <w:rsid w:val="00D0786C"/>
    <w:rsid w:val="00D11663"/>
    <w:rsid w:val="00D12B7F"/>
    <w:rsid w:val="00D16A0C"/>
    <w:rsid w:val="00D1740E"/>
    <w:rsid w:val="00D2159D"/>
    <w:rsid w:val="00D2381A"/>
    <w:rsid w:val="00D23E16"/>
    <w:rsid w:val="00D24B09"/>
    <w:rsid w:val="00D2773F"/>
    <w:rsid w:val="00D30FF8"/>
    <w:rsid w:val="00D32829"/>
    <w:rsid w:val="00D3395D"/>
    <w:rsid w:val="00D44CFE"/>
    <w:rsid w:val="00D51DA4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387"/>
    <w:rsid w:val="00DC28EA"/>
    <w:rsid w:val="00DC32D5"/>
    <w:rsid w:val="00DC4AD6"/>
    <w:rsid w:val="00DD020E"/>
    <w:rsid w:val="00DD2F28"/>
    <w:rsid w:val="00DD43A7"/>
    <w:rsid w:val="00DD78D6"/>
    <w:rsid w:val="00DE1D1E"/>
    <w:rsid w:val="00DE1DA1"/>
    <w:rsid w:val="00DE6B92"/>
    <w:rsid w:val="00DF2F06"/>
    <w:rsid w:val="00DF3836"/>
    <w:rsid w:val="00DF7FCD"/>
    <w:rsid w:val="00E01068"/>
    <w:rsid w:val="00E059CE"/>
    <w:rsid w:val="00E1021F"/>
    <w:rsid w:val="00E11B0B"/>
    <w:rsid w:val="00E13B9E"/>
    <w:rsid w:val="00E15AE3"/>
    <w:rsid w:val="00E16235"/>
    <w:rsid w:val="00E16C69"/>
    <w:rsid w:val="00E17007"/>
    <w:rsid w:val="00E233DF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2742"/>
    <w:rsid w:val="00EA4119"/>
    <w:rsid w:val="00EA4DC4"/>
    <w:rsid w:val="00EB1A10"/>
    <w:rsid w:val="00EB2238"/>
    <w:rsid w:val="00EB22FE"/>
    <w:rsid w:val="00EB291E"/>
    <w:rsid w:val="00EB55B6"/>
    <w:rsid w:val="00EC00CD"/>
    <w:rsid w:val="00EC2E73"/>
    <w:rsid w:val="00EC4AF3"/>
    <w:rsid w:val="00ED478A"/>
    <w:rsid w:val="00ED64A1"/>
    <w:rsid w:val="00ED6F83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968"/>
    <w:rsid w:val="00F12A67"/>
    <w:rsid w:val="00F15817"/>
    <w:rsid w:val="00F15D36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430DD"/>
    <w:rsid w:val="00F51548"/>
    <w:rsid w:val="00F51C5F"/>
    <w:rsid w:val="00F547A3"/>
    <w:rsid w:val="00F56CA0"/>
    <w:rsid w:val="00F5755C"/>
    <w:rsid w:val="00F57A77"/>
    <w:rsid w:val="00F57D2D"/>
    <w:rsid w:val="00F61D12"/>
    <w:rsid w:val="00F64135"/>
    <w:rsid w:val="00F65AE2"/>
    <w:rsid w:val="00F66EE0"/>
    <w:rsid w:val="00F673A8"/>
    <w:rsid w:val="00F73685"/>
    <w:rsid w:val="00F74A08"/>
    <w:rsid w:val="00F7775A"/>
    <w:rsid w:val="00F809A5"/>
    <w:rsid w:val="00F81368"/>
    <w:rsid w:val="00F83199"/>
    <w:rsid w:val="00F87602"/>
    <w:rsid w:val="00F96F4B"/>
    <w:rsid w:val="00F97DA0"/>
    <w:rsid w:val="00FA1C24"/>
    <w:rsid w:val="00FA3C8F"/>
    <w:rsid w:val="00FA504F"/>
    <w:rsid w:val="00FA7564"/>
    <w:rsid w:val="00FB0F66"/>
    <w:rsid w:val="00FB11E9"/>
    <w:rsid w:val="00FB66DE"/>
    <w:rsid w:val="00FC7C08"/>
    <w:rsid w:val="00FD0494"/>
    <w:rsid w:val="00FD2B43"/>
    <w:rsid w:val="00FD50E7"/>
    <w:rsid w:val="00FD52C3"/>
    <w:rsid w:val="00FD6BE0"/>
    <w:rsid w:val="00FE2842"/>
    <w:rsid w:val="00FE386B"/>
    <w:rsid w:val="00FE4F29"/>
    <w:rsid w:val="00FF22C2"/>
    <w:rsid w:val="00FF2C2D"/>
    <w:rsid w:val="00FF3B43"/>
    <w:rsid w:val="00FF3BA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3F55DFB-410B-4B93-89B1-62779952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16</cp:revision>
  <cp:lastPrinted>2015-03-06T18:06:00Z</cp:lastPrinted>
  <dcterms:created xsi:type="dcterms:W3CDTF">2015-02-28T22:29:00Z</dcterms:created>
  <dcterms:modified xsi:type="dcterms:W3CDTF">2015-03-06T18:06:00Z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id="wvS6yUBX"/&gt;&lt;style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value="1"/&gt;&lt;/prefs&gt;&lt;/data&gt;</vt:lpwstr>
  </property>
</Properties>
</file>