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C518D5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F5BB9">
        <w:rPr>
          <w:rFonts w:ascii="Gentium Book Basic" w:hAnsi="Gentium Book Basic" w:cs="Times New Roman"/>
          <w:b/>
          <w:sz w:val="28"/>
          <w:szCs w:val="28"/>
        </w:rPr>
        <w:t>1</w:t>
      </w:r>
      <w:r w:rsidR="00C518D5">
        <w:rPr>
          <w:rFonts w:ascii="Gentium Book Basic" w:hAnsi="Gentium Book Basic" w:cs="Times New Roman"/>
          <w:b/>
          <w:sz w:val="28"/>
          <w:szCs w:val="28"/>
        </w:rPr>
        <w:t>9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195551">
        <w:rPr>
          <w:rFonts w:ascii="Gentium Book Basic" w:hAnsi="Gentium Book Basic" w:cs="Times New Roman"/>
          <w:b/>
          <w:sz w:val="28"/>
          <w:szCs w:val="28"/>
        </w:rPr>
        <w:t>1</w:t>
      </w:r>
      <w:r w:rsidR="00C518D5">
        <w:rPr>
          <w:rFonts w:ascii="Gentium Book Basic" w:hAnsi="Gentium Book Basic" w:cs="Times New Roman"/>
          <w:b/>
          <w:sz w:val="28"/>
          <w:szCs w:val="28"/>
        </w:rPr>
        <w:t>8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C518D5">
        <w:rPr>
          <w:rFonts w:ascii="Gentium Book Basic" w:hAnsi="Gentium Book Basic" w:cs="Times New Roman"/>
          <w:b/>
          <w:sz w:val="28"/>
          <w:szCs w:val="28"/>
        </w:rPr>
        <w:t>40</w:t>
      </w:r>
    </w:p>
    <w:p w:rsidR="00991D7F" w:rsidRDefault="00D30FF8" w:rsidP="002B3140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C518D5">
        <w:rPr>
          <w:rFonts w:ascii="Gentium Book Basic" w:hAnsi="Gentium Book Basic" w:cs="Arial"/>
          <w:sz w:val="24"/>
          <w:szCs w:val="24"/>
          <w:lang w:bidi="he-IL"/>
        </w:rPr>
        <w:t xml:space="preserve">Chapter 18 </w:t>
      </w:r>
      <w:r w:rsidR="002B3140">
        <w:rPr>
          <w:rFonts w:ascii="Gentium Book Basic" w:hAnsi="Gentium Book Basic" w:cs="Arial"/>
          <w:sz w:val="24"/>
          <w:szCs w:val="24"/>
          <w:lang w:bidi="he-IL"/>
        </w:rPr>
        <w:t>begins</w:t>
      </w:r>
      <w:r w:rsidR="00C518D5">
        <w:rPr>
          <w:rFonts w:ascii="Gentium Book Basic" w:hAnsi="Gentium Book Basic" w:cs="Arial"/>
          <w:sz w:val="24"/>
          <w:szCs w:val="24"/>
          <w:lang w:bidi="he-IL"/>
        </w:rPr>
        <w:t xml:space="preserve"> John’s </w:t>
      </w:r>
      <w:r w:rsidR="002B3140">
        <w:rPr>
          <w:rFonts w:ascii="Gentium Book Basic" w:hAnsi="Gentium Book Basic" w:cs="Arial"/>
          <w:sz w:val="24"/>
          <w:szCs w:val="24"/>
          <w:lang w:bidi="he-IL"/>
        </w:rPr>
        <w:t xml:space="preserve">Crucifixion </w:t>
      </w:r>
      <w:r w:rsidR="00C518D5">
        <w:rPr>
          <w:rFonts w:ascii="Gentium Book Basic" w:hAnsi="Gentium Book Basic" w:cs="Arial"/>
          <w:sz w:val="24"/>
          <w:szCs w:val="24"/>
          <w:lang w:bidi="he-IL"/>
        </w:rPr>
        <w:t xml:space="preserve">account </w:t>
      </w:r>
      <w:r w:rsidR="002B3140">
        <w:rPr>
          <w:rFonts w:ascii="Gentium Book Basic" w:hAnsi="Gentium Book Basic" w:cs="Arial"/>
          <w:sz w:val="24"/>
          <w:szCs w:val="24"/>
          <w:lang w:bidi="he-IL"/>
        </w:rPr>
        <w:t xml:space="preserve">with </w:t>
      </w:r>
      <w:r w:rsidR="00C518D5">
        <w:rPr>
          <w:rFonts w:ascii="Gentium Book Basic" w:hAnsi="Gentium Book Basic" w:cs="Arial"/>
          <w:sz w:val="24"/>
          <w:szCs w:val="24"/>
          <w:lang w:bidi="he-IL"/>
        </w:rPr>
        <w:t>Jesus’ arrest and trials</w:t>
      </w:r>
      <w:r w:rsidR="00CC63B5">
        <w:rPr>
          <w:rFonts w:ascii="Gentium Book Basic" w:hAnsi="Gentium Book Basic" w:cs="Arial"/>
          <w:sz w:val="24"/>
          <w:szCs w:val="24"/>
          <w:lang w:bidi="he-IL"/>
        </w:rPr>
        <w:t xml:space="preserve">. </w:t>
      </w:r>
      <w:r w:rsidR="002B3140">
        <w:rPr>
          <w:rFonts w:ascii="Gentium Book Basic" w:hAnsi="Gentium Book Basic" w:cs="Arial"/>
          <w:sz w:val="24"/>
          <w:szCs w:val="24"/>
          <w:lang w:bidi="he-IL"/>
        </w:rPr>
        <w:t xml:space="preserve">Of course, the Crucifixion </w:t>
      </w:r>
      <w:r w:rsidR="00CC63B5">
        <w:rPr>
          <w:rFonts w:ascii="Gentium Book Basic" w:hAnsi="Gentium Book Basic" w:cs="Arial"/>
          <w:sz w:val="24"/>
          <w:szCs w:val="24"/>
          <w:lang w:bidi="he-IL"/>
        </w:rPr>
        <w:t xml:space="preserve">is the signal event recounted in all four Gospels, described by Jesus in this gospel as his “hour” (17:1). </w:t>
      </w:r>
      <w:r w:rsidR="00991D7F">
        <w:rPr>
          <w:rFonts w:ascii="Gentium Book Basic" w:hAnsi="Gentium Book Basic" w:cs="Arial"/>
          <w:sz w:val="24"/>
          <w:szCs w:val="24"/>
          <w:lang w:bidi="he-IL"/>
        </w:rPr>
        <w:t>Although repeatedly found innocent (18:38; 19:4, 6), Jesus died in fulfillment of Messianic prophecy (19:24, 28–29, 36–37). Here we read this great story.</w:t>
      </w:r>
    </w:p>
    <w:p w:rsidR="00962B95" w:rsidRDefault="002B3140" w:rsidP="00AF23A0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John continues to provide a unique </w:t>
      </w:r>
      <w:r w:rsidR="00977090">
        <w:rPr>
          <w:rFonts w:ascii="Gentium Book Basic" w:hAnsi="Gentium Book Basic" w:cs="Arial"/>
          <w:sz w:val="24"/>
          <w:szCs w:val="24"/>
          <w:lang w:bidi="he-IL"/>
        </w:rPr>
        <w:t>perspective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in 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>his own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account, deemphasizing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 xml:space="preserve"> details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 xml:space="preserve">present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in the Synoptic gospels 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>while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including information that we have nowhere else. For </w:t>
      </w:r>
      <w:r w:rsidR="00977090">
        <w:rPr>
          <w:rFonts w:ascii="Gentium Book Basic" w:hAnsi="Gentium Book Basic" w:cs="Arial"/>
          <w:sz w:val="24"/>
          <w:szCs w:val="24"/>
          <w:lang w:bidi="he-IL"/>
        </w:rPr>
        <w:t>example</w:t>
      </w:r>
      <w:r>
        <w:rPr>
          <w:rFonts w:ascii="Gentium Book Basic" w:hAnsi="Gentium Book Basic" w:cs="Arial"/>
          <w:sz w:val="24"/>
          <w:szCs w:val="24"/>
          <w:lang w:bidi="he-IL"/>
        </w:rPr>
        <w:t>, John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 xml:space="preserve">’s account 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>of the betrayal and arrest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emphasizes Christ’s </w:t>
      </w:r>
      <w:r w:rsidR="007D26C8">
        <w:rPr>
          <w:rFonts w:ascii="Gentium Book Basic" w:hAnsi="Gentium Book Basic" w:cs="Arial"/>
          <w:sz w:val="24"/>
          <w:szCs w:val="24"/>
          <w:lang w:bidi="he-IL"/>
        </w:rPr>
        <w:t>knowledge of the sovereign plan (18:4–8)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>,</w:t>
      </w:r>
      <w:r w:rsidR="007D26C8">
        <w:rPr>
          <w:rFonts w:ascii="Gentium Book Basic" w:hAnsi="Gentium Book Basic" w:cs="Arial"/>
          <w:sz w:val="24"/>
          <w:szCs w:val="24"/>
          <w:lang w:bidi="he-IL"/>
        </w:rPr>
        <w:t xml:space="preserve"> while the 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>Synoptic accounts</w:t>
      </w:r>
      <w:r w:rsidR="007D26C8">
        <w:rPr>
          <w:rFonts w:ascii="Gentium Book Basic" w:hAnsi="Gentium Book Basic" w:cs="Arial"/>
          <w:sz w:val="24"/>
          <w:szCs w:val="24"/>
          <w:lang w:bidi="he-IL"/>
        </w:rPr>
        <w:t xml:space="preserve"> describe the </w:t>
      </w:r>
      <w:r w:rsidR="00962B95">
        <w:rPr>
          <w:rFonts w:ascii="Gentium Book Basic" w:hAnsi="Gentium Book Basic" w:cs="Arial"/>
          <w:sz w:val="24"/>
          <w:szCs w:val="24"/>
          <w:lang w:bidi="he-IL"/>
        </w:rPr>
        <w:t xml:space="preserve">betrayer’s </w:t>
      </w:r>
      <w:r w:rsidR="007D26C8">
        <w:rPr>
          <w:rFonts w:ascii="Gentium Book Basic" w:hAnsi="Gentium Book Basic" w:cs="Arial"/>
          <w:sz w:val="24"/>
          <w:szCs w:val="24"/>
          <w:lang w:bidi="he-IL"/>
        </w:rPr>
        <w:t>kiss (Matt. 26:48–50; Mark 14:44–46; Luke 22:47–48).</w:t>
      </w:r>
      <w:r w:rsidR="00962B95">
        <w:rPr>
          <w:rFonts w:ascii="Gentium Book Basic" w:hAnsi="Gentium Book Basic" w:cs="Arial"/>
          <w:sz w:val="24"/>
          <w:szCs w:val="24"/>
          <w:lang w:bidi="he-IL"/>
        </w:rPr>
        <w:t xml:space="preserve"> All four gospels 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>mention</w:t>
      </w:r>
      <w:r w:rsidR="00962B95">
        <w:rPr>
          <w:rFonts w:ascii="Gentium Book Basic" w:hAnsi="Gentium Book Basic" w:cs="Arial"/>
          <w:sz w:val="24"/>
          <w:szCs w:val="24"/>
          <w:lang w:bidi="he-IL"/>
        </w:rPr>
        <w:t xml:space="preserve"> Peter’s use of the sword, but only John names the high priest’s servant (John 18:10).</w:t>
      </w:r>
    </w:p>
    <w:p w:rsidR="00962B95" w:rsidRPr="00D13FF3" w:rsidRDefault="00E221AA" w:rsidP="00AF23A0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After the arrest, John tells of a preliminary hearing before </w:t>
      </w:r>
      <w:proofErr w:type="spellStart"/>
      <w:r>
        <w:rPr>
          <w:rFonts w:ascii="Gentium Book Basic" w:hAnsi="Gentium Book Basic" w:cs="Arial"/>
          <w:sz w:val="24"/>
          <w:szCs w:val="24"/>
          <w:lang w:bidi="he-IL"/>
        </w:rPr>
        <w:t>Annas</w:t>
      </w:r>
      <w:proofErr w:type="spellEnd"/>
      <w:r>
        <w:rPr>
          <w:rFonts w:ascii="Gentium Book Basic" w:hAnsi="Gentium Book Basic" w:cs="Arial"/>
          <w:sz w:val="24"/>
          <w:szCs w:val="24"/>
          <w:lang w:bidi="he-IL"/>
        </w:rPr>
        <w:t xml:space="preserve">, father-in-law </w:t>
      </w:r>
      <w:r w:rsidR="00477F74">
        <w:rPr>
          <w:rFonts w:ascii="Gentium Book Basic" w:hAnsi="Gentium Book Basic" w:cs="Arial"/>
          <w:sz w:val="24"/>
          <w:szCs w:val="24"/>
          <w:lang w:bidi="he-IL"/>
        </w:rPr>
        <w:t xml:space="preserve">to the current </w:t>
      </w:r>
      <w:r w:rsidR="00477F74">
        <w:rPr>
          <w:rFonts w:ascii="Gentium Book Basic" w:hAnsi="Gentium Book Basic" w:cs="Arial"/>
          <w:sz w:val="24"/>
          <w:szCs w:val="24"/>
          <w:lang w:bidi="he-IL"/>
        </w:rPr>
        <w:t xml:space="preserve">high priest Caiaphas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(John 18:12–14, 19–24). This 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>questioning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is not included in the Synoptic accounts. </w:t>
      </w:r>
      <w:r w:rsidR="00477F74">
        <w:rPr>
          <w:rFonts w:ascii="Gentium Book Basic" w:hAnsi="Gentium Book Basic" w:cs="Arial"/>
          <w:sz w:val="24"/>
          <w:szCs w:val="24"/>
          <w:lang w:bidi="he-IL"/>
        </w:rPr>
        <w:t xml:space="preserve">Peter’s denial of Jesus is interspersed </w:t>
      </w:r>
      <w:r w:rsidR="00AF23A0">
        <w:rPr>
          <w:rFonts w:ascii="Gentium Book Basic" w:hAnsi="Gentium Book Basic" w:cs="Arial"/>
          <w:sz w:val="24"/>
          <w:szCs w:val="24"/>
          <w:lang w:bidi="he-IL"/>
        </w:rPr>
        <w:t>in</w:t>
      </w:r>
      <w:r w:rsidR="00477F74">
        <w:rPr>
          <w:rFonts w:ascii="Gentium Book Basic" w:hAnsi="Gentium Book Basic" w:cs="Arial"/>
          <w:sz w:val="24"/>
          <w:szCs w:val="24"/>
          <w:lang w:bidi="he-IL"/>
        </w:rPr>
        <w:t xml:space="preserve"> the account of this trial (18:15–18, 25–27). </w:t>
      </w:r>
      <w:r w:rsidR="00E02FA6">
        <w:rPr>
          <w:rFonts w:ascii="Gentium Book Basic" w:hAnsi="Gentium Book Basic" w:cs="Arial"/>
          <w:sz w:val="24"/>
          <w:szCs w:val="24"/>
          <w:lang w:bidi="he-IL"/>
        </w:rPr>
        <w:t xml:space="preserve">John provides only abbreviated references to the later trial before Caiaphas (18:24, 28), and instead focuses on the trial before Pilate </w:t>
      </w:r>
      <w:r w:rsidR="001547C4" w:rsidRPr="001547C4">
        <w:rPr>
          <w:rFonts w:ascii="Gentium Book Basic" w:hAnsi="Gentium Book Basic" w:cs="Arial"/>
          <w:sz w:val="24"/>
          <w:szCs w:val="24"/>
          <w:lang w:bidi="he-IL"/>
        </w:rPr>
        <w:t>(18:28–19:16a)</w:t>
      </w:r>
      <w:r w:rsidR="001547C4">
        <w:rPr>
          <w:rFonts w:ascii="Gentium Book Basic" w:hAnsi="Gentium Book Basic" w:cs="Arial"/>
          <w:sz w:val="24"/>
          <w:szCs w:val="24"/>
          <w:lang w:bidi="he-IL"/>
        </w:rPr>
        <w:t>.</w:t>
      </w: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1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113128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Final Prayer (13-17)</w:t>
      </w:r>
    </w:p>
    <w:p w:rsidR="00735DFD" w:rsidRPr="00113128" w:rsidRDefault="00735DFD" w:rsidP="00B70EB3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color w:val="000000"/>
          <w:lang w:bidi="he-IL"/>
        </w:rPr>
        <w:t>Cleansing the Community (13:1</w:t>
      </w:r>
      <w:r w:rsidR="00B70EB3"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113128">
        <w:rPr>
          <w:rFonts w:ascii="Gentium Book Basic" w:eastAsia="Times New Roman" w:hAnsi="Gentium Book Basic" w:cs="Times New Roman"/>
          <w:color w:val="000000"/>
          <w:lang w:bidi="he-IL"/>
        </w:rPr>
        <w:t>30)</w:t>
      </w:r>
    </w:p>
    <w:p w:rsidR="00735DFD" w:rsidRPr="00195551" w:rsidRDefault="00735DFD" w:rsidP="00B70EB3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95551">
        <w:rPr>
          <w:rFonts w:ascii="Gentium Book Basic" w:eastAsia="Times New Roman" w:hAnsi="Gentium Book Basic" w:cs="Times New Roman"/>
          <w:color w:val="000000"/>
          <w:lang w:bidi="he-IL"/>
        </w:rPr>
        <w:t>The Farewell Discourse (13:31</w:t>
      </w:r>
      <w:r w:rsidR="00B70EB3"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195551">
        <w:rPr>
          <w:rFonts w:ascii="Gentium Book Basic" w:eastAsia="Times New Roman" w:hAnsi="Gentium Book Basic" w:cs="Times New Roman"/>
          <w:color w:val="000000"/>
          <w:lang w:bidi="he-IL"/>
        </w:rPr>
        <w:t>16:33)</w:t>
      </w:r>
    </w:p>
    <w:p w:rsidR="00735DFD" w:rsidRPr="00DD16EE" w:rsidRDefault="00735DFD" w:rsidP="00B70EB3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D16EE">
        <w:rPr>
          <w:rFonts w:ascii="Gentium Book Basic" w:eastAsia="Times New Roman" w:hAnsi="Gentium Book Basic" w:cs="Times New Roman"/>
          <w:color w:val="000000"/>
          <w:lang w:bidi="he-IL"/>
        </w:rPr>
        <w:t>Jesus</w:t>
      </w:r>
      <w:r w:rsidR="00144147" w:rsidRPr="00DD16EE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DD16EE">
        <w:rPr>
          <w:rFonts w:ascii="Gentium Book Basic" w:eastAsia="Times New Roman" w:hAnsi="Gentium Book Basic" w:cs="Times New Roman"/>
          <w:color w:val="000000"/>
          <w:lang w:bidi="he-IL"/>
        </w:rPr>
        <w:t xml:space="preserve"> Departure and Sending of the Spirit (13:31</w:t>
      </w:r>
      <w:r w:rsidR="00B70EB3"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DD16EE">
        <w:rPr>
          <w:rFonts w:ascii="Gentium Book Basic" w:eastAsia="Times New Roman" w:hAnsi="Gentium Book Basic" w:cs="Times New Roman"/>
          <w:color w:val="000000"/>
          <w:lang w:bidi="he-IL"/>
        </w:rPr>
        <w:t>14:31)</w:t>
      </w:r>
    </w:p>
    <w:p w:rsidR="00735DFD" w:rsidRPr="002B141D" w:rsidRDefault="00735DFD" w:rsidP="00B70EB3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B141D">
        <w:rPr>
          <w:rFonts w:ascii="Gentium Book Basic" w:eastAsia="Times New Roman" w:hAnsi="Gentium Book Basic" w:cs="Times New Roman"/>
          <w:color w:val="000000"/>
          <w:lang w:bidi="he-IL"/>
        </w:rPr>
        <w:t>Jesus the True Vine (15:1</w:t>
      </w:r>
      <w:r w:rsidR="00B70EB3"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2B141D">
        <w:rPr>
          <w:rFonts w:ascii="Gentium Book Basic" w:eastAsia="Times New Roman" w:hAnsi="Gentium Book Basic" w:cs="Times New Roman"/>
          <w:color w:val="000000"/>
          <w:lang w:bidi="he-IL"/>
        </w:rPr>
        <w:t>17)</w:t>
      </w:r>
    </w:p>
    <w:p w:rsidR="00735DFD" w:rsidRPr="00195551" w:rsidRDefault="00735DFD" w:rsidP="00B70EB3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95551">
        <w:rPr>
          <w:rFonts w:ascii="Gentium Book Basic" w:eastAsia="Times New Roman" w:hAnsi="Gentium Book Basic" w:cs="Times New Roman"/>
          <w:color w:val="000000"/>
          <w:lang w:bidi="he-IL"/>
        </w:rPr>
        <w:t>The Spirit and the Disciples</w:t>
      </w:r>
      <w:r w:rsidR="00144147" w:rsidRPr="00195551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195551">
        <w:rPr>
          <w:rFonts w:ascii="Gentium Book Basic" w:eastAsia="Times New Roman" w:hAnsi="Gentium Book Basic" w:cs="Times New Roman"/>
          <w:color w:val="000000"/>
          <w:lang w:bidi="he-IL"/>
        </w:rPr>
        <w:t xml:space="preserve"> Witness to the World (15:18</w:t>
      </w:r>
      <w:r w:rsidR="00B70EB3"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195551">
        <w:rPr>
          <w:rFonts w:ascii="Gentium Book Basic" w:eastAsia="Times New Roman" w:hAnsi="Gentium Book Basic" w:cs="Times New Roman"/>
          <w:color w:val="000000"/>
          <w:lang w:bidi="he-IL"/>
        </w:rPr>
        <w:t>16:33)</w:t>
      </w:r>
    </w:p>
    <w:p w:rsidR="00735DFD" w:rsidRPr="00C518D5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C518D5">
        <w:rPr>
          <w:rFonts w:ascii="Gentium Book Basic" w:eastAsia="Times New Roman" w:hAnsi="Gentium Book Basic" w:cs="Times New Roman"/>
          <w:color w:val="000000"/>
          <w:lang w:bidi="he-IL"/>
        </w:rPr>
        <w:t>Jesus</w:t>
      </w:r>
      <w:r w:rsidR="00144147" w:rsidRPr="00C518D5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C518D5">
        <w:rPr>
          <w:rFonts w:ascii="Gentium Book Basic" w:eastAsia="Times New Roman" w:hAnsi="Gentium Book Basic" w:cs="Times New Roman"/>
          <w:color w:val="000000"/>
          <w:lang w:bidi="he-IL"/>
        </w:rPr>
        <w:t xml:space="preserve"> Parting Prayer (17)</w:t>
      </w:r>
    </w:p>
    <w:p w:rsidR="00C53F38" w:rsidRPr="00C518D5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C518D5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Passion Narrative (18</w:t>
      </w:r>
      <w:r w:rsidR="00B70EB3" w:rsidRPr="00C518D5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–</w:t>
      </w:r>
      <w:r w:rsidRPr="00C518D5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19)</w:t>
      </w:r>
    </w:p>
    <w:p w:rsidR="00B70EB3" w:rsidRPr="00C518D5" w:rsidRDefault="00B70EB3" w:rsidP="00B70EB3">
      <w:pPr>
        <w:widowControl w:val="0"/>
        <w:numPr>
          <w:ilvl w:val="0"/>
          <w:numId w:val="27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C518D5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Betrayal and Arrest of Jesus (18:1–11)</w:t>
      </w:r>
    </w:p>
    <w:p w:rsidR="00B70EB3" w:rsidRPr="00C518D5" w:rsidRDefault="00B70EB3" w:rsidP="00B70EB3">
      <w:pPr>
        <w:widowControl w:val="0"/>
        <w:numPr>
          <w:ilvl w:val="0"/>
          <w:numId w:val="27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C518D5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 Questioned by the High Priest and Denied by Peter (18:12–27)</w:t>
      </w:r>
    </w:p>
    <w:p w:rsidR="00B70EB3" w:rsidRPr="00C518D5" w:rsidRDefault="00B70EB3" w:rsidP="00B70EB3">
      <w:pPr>
        <w:widowControl w:val="0"/>
        <w:numPr>
          <w:ilvl w:val="0"/>
          <w:numId w:val="27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C518D5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 Before Pilate (18:28–19:16a)</w:t>
      </w:r>
    </w:p>
    <w:p w:rsidR="00B70EB3" w:rsidRPr="00B70EB3" w:rsidRDefault="00B70EB3" w:rsidP="00B70EB3">
      <w:pPr>
        <w:widowControl w:val="0"/>
        <w:numPr>
          <w:ilvl w:val="0"/>
          <w:numId w:val="27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Jesus’ Crucifixion and Burial (19:16b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42)</w:t>
      </w:r>
    </w:p>
    <w:p w:rsidR="00C53F38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Resurrection and Appearances, Commissioning of Disciples (20:1</w:t>
      </w:r>
      <w:r w:rsidR="00B70EB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–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29)</w:t>
      </w:r>
    </w:p>
    <w:p w:rsidR="00B70EB3" w:rsidRPr="00B70EB3" w:rsidRDefault="00B70EB3" w:rsidP="00B70EB3">
      <w:pPr>
        <w:widowControl w:val="0"/>
        <w:numPr>
          <w:ilvl w:val="0"/>
          <w:numId w:val="28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The Empty Tomb (20:1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10)</w:t>
      </w:r>
    </w:p>
    <w:p w:rsidR="00B70EB3" w:rsidRPr="00B70EB3" w:rsidRDefault="00B70EB3" w:rsidP="00B70EB3">
      <w:pPr>
        <w:widowControl w:val="0"/>
        <w:numPr>
          <w:ilvl w:val="0"/>
          <w:numId w:val="28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Jesus’ Encounter with Mary Magdalene (20:11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18)</w:t>
      </w:r>
    </w:p>
    <w:p w:rsidR="00B70EB3" w:rsidRPr="00B70EB3" w:rsidRDefault="00B70EB3" w:rsidP="00B70EB3">
      <w:pPr>
        <w:widowControl w:val="0"/>
        <w:numPr>
          <w:ilvl w:val="0"/>
          <w:numId w:val="28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Jesus’ First Appearance, to His Disciples (20:19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23)</w:t>
      </w:r>
    </w:p>
    <w:p w:rsidR="00B70EB3" w:rsidRPr="00B70EB3" w:rsidRDefault="00B70EB3" w:rsidP="00B70EB3">
      <w:pPr>
        <w:widowControl w:val="0"/>
        <w:numPr>
          <w:ilvl w:val="0"/>
          <w:numId w:val="28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Jesus’ Seco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nd Appearance, to Thomas (20:24–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29)</w:t>
      </w:r>
    </w:p>
    <w:p w:rsidR="00C53F38" w:rsidRPr="00DC40FB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</w:t>
      </w:r>
      <w:r w:rsidR="00B70EB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–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43215A" w:rsidRDefault="0043215A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43215A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FB66DE" w:rsidRDefault="008B2AE5" w:rsidP="001C65BA">
      <w:pPr>
        <w:pStyle w:val="Question"/>
      </w:pPr>
      <w:r>
        <w:t>Notice that Judas is accompanied by a large company of troops and Jewish officials (18:3). Why might this be necessary for the arrest of a single individual?</w:t>
      </w:r>
    </w:p>
    <w:p w:rsidR="00553B2D" w:rsidRPr="00A76EF2" w:rsidRDefault="00553B2D" w:rsidP="00957141">
      <w:pPr>
        <w:pStyle w:val="Lines"/>
        <w:tabs>
          <w:tab w:val="left" w:pos="8085"/>
        </w:tabs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FB66DE" w:rsidRPr="00957141" w:rsidRDefault="008B2AE5" w:rsidP="008B2AE5">
      <w:pPr>
        <w:pStyle w:val="Question"/>
      </w:pPr>
      <w:r>
        <w:t>Notice how Jesus is described in 18:4. What does this tell us about his attitude toward his impending death?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957141" w:rsidRDefault="008B2AE5" w:rsidP="00C00661">
      <w:pPr>
        <w:pStyle w:val="Question"/>
      </w:pPr>
      <w:r>
        <w:t xml:space="preserve">Notice Jesus’ response to </w:t>
      </w:r>
      <w:proofErr w:type="spellStart"/>
      <w:r>
        <w:t>Annas</w:t>
      </w:r>
      <w:proofErr w:type="spellEnd"/>
      <w:r>
        <w:t xml:space="preserve"> (18:20–21). If Jesus’ teachings were well known, what might have been </w:t>
      </w:r>
      <w:proofErr w:type="spellStart"/>
      <w:r>
        <w:t>Annas</w:t>
      </w:r>
      <w:proofErr w:type="spellEnd"/>
      <w:r>
        <w:t xml:space="preserve">’ motive for inquiring about </w:t>
      </w:r>
      <w:r w:rsidR="00C00661">
        <w:t>them</w:t>
      </w:r>
      <w:r>
        <w:t xml:space="preserve"> (18:19)? 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C0755D" w:rsidRDefault="00C00661" w:rsidP="001C65BA">
      <w:pPr>
        <w:pStyle w:val="Question"/>
      </w:pPr>
      <w:r>
        <w:t xml:space="preserve">John </w:t>
      </w:r>
      <w:r w:rsidR="001C65BA">
        <w:t>mentions</w:t>
      </w:r>
      <w:r>
        <w:t xml:space="preserve"> that one of the servants to who questions Peter is “</w:t>
      </w:r>
      <w:r>
        <w:t xml:space="preserve">a relative </w:t>
      </w:r>
      <w:r w:rsidRPr="001C65BA">
        <w:rPr>
          <w:iCs/>
        </w:rPr>
        <w:t>of him</w:t>
      </w:r>
      <w:r>
        <w:t xml:space="preserve"> whose ear Peter cut off</w:t>
      </w:r>
      <w:r>
        <w:t xml:space="preserve">” </w:t>
      </w:r>
      <w:r w:rsidR="001C65BA">
        <w:t>and</w:t>
      </w:r>
      <w:r>
        <w:t xml:space="preserve"> claimed to have seen Peter in the garden (18:26). What does this reveal about the nature of Peter’s denials?</w:t>
      </w:r>
    </w:p>
    <w:p w:rsidR="00245F23" w:rsidRPr="00A76EF2" w:rsidRDefault="00245F23" w:rsidP="00A76EF2">
      <w:pPr>
        <w:pStyle w:val="Lines"/>
      </w:pPr>
      <w:bookmarkStart w:id="0" w:name="_GoBack"/>
      <w:bookmarkEnd w:id="0"/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C0755D" w:rsidRDefault="00564866" w:rsidP="001C65BA">
      <w:pPr>
        <w:pStyle w:val="Question"/>
      </w:pPr>
      <w:r>
        <w:t xml:space="preserve">Based on the context in 18:30–32, </w:t>
      </w:r>
      <w:r w:rsidR="001C65BA">
        <w:t>was</w:t>
      </w:r>
      <w:r>
        <w:t xml:space="preserve"> Pilate’s question in 18:29 ever clearly answered</w:t>
      </w:r>
      <w:r w:rsidR="001C65BA">
        <w:t xml:space="preserve"> by the Jews</w:t>
      </w:r>
      <w:r>
        <w:t xml:space="preserve">? With that in mind, what seems to be Pilate’s goal </w:t>
      </w:r>
      <w:r w:rsidR="001C65BA">
        <w:t>as he questions</w:t>
      </w:r>
      <w:r>
        <w:t xml:space="preserve"> Jesus in 18:33–38</w:t>
      </w:r>
      <w:r w:rsidR="001B746B">
        <w:t>a</w:t>
      </w:r>
      <w:r>
        <w:t>?</w:t>
      </w:r>
    </w:p>
    <w:p w:rsidR="00F0296F" w:rsidRPr="00F0296F" w:rsidRDefault="00F0296F" w:rsidP="00BF4BA7">
      <w:pPr>
        <w:pStyle w:val="Lines"/>
        <w:tabs>
          <w:tab w:val="left" w:pos="6675"/>
        </w:tabs>
      </w:pP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113128" w:rsidRDefault="005677A8" w:rsidP="005677A8">
      <w:pPr>
        <w:pStyle w:val="Question"/>
      </w:pPr>
      <w:r>
        <w:t>In what sense is Jesus’ kingdom “not of this world” and “not from here” (18:36)? How does 1 John 5:4 help us understand this text?</w:t>
      </w: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44147">
        <w:t>“</w:t>
      </w:r>
      <w:r w:rsidR="00501646">
        <w:t xml:space="preserve">his place in </w:t>
      </w:r>
      <w:r w:rsidR="00197109">
        <w:t>the sweep of redemptive history</w:t>
      </w:r>
      <w:r w:rsidR="00144147">
        <w:t>”</w:t>
      </w:r>
      <w:r w:rsidR="00197109">
        <w:t>?</w:t>
      </w:r>
      <w:r w:rsidR="00197109">
        <w:rPr>
          <w:rStyle w:val="FootnoteReference"/>
        </w:rPr>
        <w:footnoteReference w:id="2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5A6" w:rsidRDefault="006C55A6" w:rsidP="001E73CB">
      <w:r>
        <w:separator/>
      </w:r>
    </w:p>
  </w:endnote>
  <w:endnote w:type="continuationSeparator" w:id="0">
    <w:p w:rsidR="006C55A6" w:rsidRDefault="006C55A6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5A6" w:rsidRDefault="006C55A6" w:rsidP="001E73CB">
      <w:r>
        <w:separator/>
      </w:r>
    </w:p>
  </w:footnote>
  <w:footnote w:type="continuationSeparator" w:id="0">
    <w:p w:rsidR="006C55A6" w:rsidRDefault="006C55A6" w:rsidP="001E73CB">
      <w:r>
        <w:continuationSeparator/>
      </w:r>
    </w:p>
  </w:footnote>
  <w:footnote w:id="1">
    <w:p w:rsidR="00C53F38" w:rsidRDefault="00C53F38" w:rsidP="007A31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r w:rsidR="0027110D" w:rsidRPr="007A31FD">
        <w:rPr>
          <w:rFonts w:cs="Times New Roman"/>
          <w:szCs w:val="24"/>
        </w:rPr>
        <w:t xml:space="preserve">Andreas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2">
    <w:p w:rsidR="00197109" w:rsidRDefault="00197109" w:rsidP="002B14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2B141D" w:rsidRPr="00197109">
        <w:rPr>
          <w:rFonts w:cs="Times New Roman"/>
          <w:szCs w:val="24"/>
        </w:rPr>
        <w:t xml:space="preserve">D. A. Carson, </w:t>
      </w:r>
      <w:r w:rsidR="002B141D" w:rsidRPr="00197109">
        <w:rPr>
          <w:rFonts w:cs="Times New Roman"/>
          <w:i/>
          <w:iCs/>
          <w:szCs w:val="24"/>
        </w:rPr>
        <w:t>The Gospel according to John</w:t>
      </w:r>
      <w:r w:rsidR="002B141D" w:rsidRPr="00197109">
        <w:rPr>
          <w:rFonts w:cs="Times New Roman"/>
          <w:szCs w:val="24"/>
        </w:rPr>
        <w:t>, P</w:t>
      </w:r>
      <w:r w:rsidR="002B141D">
        <w:rPr>
          <w:rFonts w:cs="Times New Roman"/>
          <w:szCs w:val="24"/>
        </w:rPr>
        <w:t xml:space="preserve">illar </w:t>
      </w:r>
      <w:r w:rsidR="002B141D" w:rsidRPr="00197109">
        <w:rPr>
          <w:rFonts w:cs="Times New Roman"/>
          <w:szCs w:val="24"/>
        </w:rPr>
        <w:t>N</w:t>
      </w:r>
      <w:r w:rsidR="002B141D">
        <w:rPr>
          <w:rFonts w:cs="Times New Roman"/>
          <w:szCs w:val="24"/>
        </w:rPr>
        <w:t xml:space="preserve">ew </w:t>
      </w:r>
      <w:r w:rsidR="002B141D" w:rsidRPr="00197109">
        <w:rPr>
          <w:rFonts w:cs="Times New Roman"/>
          <w:szCs w:val="24"/>
        </w:rPr>
        <w:t>T</w:t>
      </w:r>
      <w:r w:rsidR="002B141D">
        <w:rPr>
          <w:rFonts w:cs="Times New Roman"/>
          <w:szCs w:val="24"/>
        </w:rPr>
        <w:t xml:space="preserve">estament </w:t>
      </w:r>
      <w:r w:rsidR="002B141D" w:rsidRPr="00197109">
        <w:rPr>
          <w:rFonts w:cs="Times New Roman"/>
          <w:szCs w:val="24"/>
        </w:rPr>
        <w:t>C</w:t>
      </w:r>
      <w:r w:rsidR="002B141D">
        <w:rPr>
          <w:rFonts w:cs="Times New Roman"/>
          <w:szCs w:val="24"/>
        </w:rPr>
        <w:t>ommentary</w:t>
      </w:r>
      <w:r w:rsidR="002B141D" w:rsidRPr="00197109">
        <w:rPr>
          <w:rFonts w:cs="Times New Roman"/>
          <w:szCs w:val="24"/>
        </w:rPr>
        <w:t xml:space="preserve"> (Grand Rapids, MI: Eerdmans, 1991),</w:t>
      </w:r>
      <w:r w:rsidRPr="00197109">
        <w:rPr>
          <w:rFonts w:cs="Times New Roman"/>
          <w:szCs w:val="24"/>
        </w:rPr>
        <w:t xml:space="preserve">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B42E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C1B8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2"/>
  </w:num>
  <w:num w:numId="4">
    <w:abstractNumId w:val="2"/>
  </w:num>
  <w:num w:numId="5">
    <w:abstractNumId w:val="21"/>
  </w:num>
  <w:num w:numId="6">
    <w:abstractNumId w:val="17"/>
  </w:num>
  <w:num w:numId="7">
    <w:abstractNumId w:val="18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4"/>
  </w:num>
  <w:num w:numId="18">
    <w:abstractNumId w:val="0"/>
  </w:num>
  <w:num w:numId="19">
    <w:abstractNumId w:val="16"/>
  </w:num>
  <w:num w:numId="20">
    <w:abstractNumId w:val="1"/>
  </w:num>
  <w:num w:numId="21">
    <w:abstractNumId w:val="1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8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D61"/>
    <w:rsid w:val="00010E62"/>
    <w:rsid w:val="0001209D"/>
    <w:rsid w:val="000177B1"/>
    <w:rsid w:val="00020DC9"/>
    <w:rsid w:val="0002340E"/>
    <w:rsid w:val="00024A9B"/>
    <w:rsid w:val="0002552A"/>
    <w:rsid w:val="00025743"/>
    <w:rsid w:val="00030F73"/>
    <w:rsid w:val="00033077"/>
    <w:rsid w:val="00034B6B"/>
    <w:rsid w:val="00037866"/>
    <w:rsid w:val="00040972"/>
    <w:rsid w:val="00041496"/>
    <w:rsid w:val="00044E44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573B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12C0"/>
    <w:rsid w:val="000E3C1C"/>
    <w:rsid w:val="000E4034"/>
    <w:rsid w:val="000E4666"/>
    <w:rsid w:val="000F54CC"/>
    <w:rsid w:val="00107471"/>
    <w:rsid w:val="00111C42"/>
    <w:rsid w:val="00113128"/>
    <w:rsid w:val="00113A6B"/>
    <w:rsid w:val="00117243"/>
    <w:rsid w:val="00117BF7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0621"/>
    <w:rsid w:val="00143B24"/>
    <w:rsid w:val="00144147"/>
    <w:rsid w:val="00145BF0"/>
    <w:rsid w:val="00147253"/>
    <w:rsid w:val="001547C4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0971"/>
    <w:rsid w:val="0018548C"/>
    <w:rsid w:val="0019285C"/>
    <w:rsid w:val="00192DC6"/>
    <w:rsid w:val="00195551"/>
    <w:rsid w:val="00196FCD"/>
    <w:rsid w:val="00197109"/>
    <w:rsid w:val="001A2AA8"/>
    <w:rsid w:val="001B24E3"/>
    <w:rsid w:val="001B35F5"/>
    <w:rsid w:val="001B4E86"/>
    <w:rsid w:val="001B6703"/>
    <w:rsid w:val="001B746B"/>
    <w:rsid w:val="001C3452"/>
    <w:rsid w:val="001C65BA"/>
    <w:rsid w:val="001C6773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5DC1"/>
    <w:rsid w:val="00256633"/>
    <w:rsid w:val="00260F9B"/>
    <w:rsid w:val="00262F2C"/>
    <w:rsid w:val="002631C0"/>
    <w:rsid w:val="00263609"/>
    <w:rsid w:val="00270ABC"/>
    <w:rsid w:val="0027110D"/>
    <w:rsid w:val="00271CDD"/>
    <w:rsid w:val="0027783C"/>
    <w:rsid w:val="002804DA"/>
    <w:rsid w:val="00281D4E"/>
    <w:rsid w:val="00283F42"/>
    <w:rsid w:val="00294F81"/>
    <w:rsid w:val="00296541"/>
    <w:rsid w:val="00297B5F"/>
    <w:rsid w:val="002B141D"/>
    <w:rsid w:val="002B2605"/>
    <w:rsid w:val="002B3140"/>
    <w:rsid w:val="002B51FD"/>
    <w:rsid w:val="002C775E"/>
    <w:rsid w:val="002C7ABF"/>
    <w:rsid w:val="002D5547"/>
    <w:rsid w:val="002D5A7D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1796B"/>
    <w:rsid w:val="00320A0B"/>
    <w:rsid w:val="00321942"/>
    <w:rsid w:val="00322851"/>
    <w:rsid w:val="00323467"/>
    <w:rsid w:val="00325078"/>
    <w:rsid w:val="00327492"/>
    <w:rsid w:val="003426B0"/>
    <w:rsid w:val="00344722"/>
    <w:rsid w:val="003454CC"/>
    <w:rsid w:val="0035140F"/>
    <w:rsid w:val="00357EB4"/>
    <w:rsid w:val="003615DC"/>
    <w:rsid w:val="0036311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2F78"/>
    <w:rsid w:val="00384BF5"/>
    <w:rsid w:val="0038797C"/>
    <w:rsid w:val="00390149"/>
    <w:rsid w:val="0039691C"/>
    <w:rsid w:val="003A580D"/>
    <w:rsid w:val="003B000B"/>
    <w:rsid w:val="003B3CA7"/>
    <w:rsid w:val="003B65BD"/>
    <w:rsid w:val="003B6C0E"/>
    <w:rsid w:val="003C05C7"/>
    <w:rsid w:val="003D036B"/>
    <w:rsid w:val="003D1971"/>
    <w:rsid w:val="003D405C"/>
    <w:rsid w:val="003D4D6C"/>
    <w:rsid w:val="003D7349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32C"/>
    <w:rsid w:val="00422D42"/>
    <w:rsid w:val="00431087"/>
    <w:rsid w:val="0043215A"/>
    <w:rsid w:val="004334DD"/>
    <w:rsid w:val="004344D3"/>
    <w:rsid w:val="00436B6F"/>
    <w:rsid w:val="00446481"/>
    <w:rsid w:val="004523E5"/>
    <w:rsid w:val="004578C8"/>
    <w:rsid w:val="0047251C"/>
    <w:rsid w:val="00474A83"/>
    <w:rsid w:val="00477BBE"/>
    <w:rsid w:val="00477F74"/>
    <w:rsid w:val="004824FF"/>
    <w:rsid w:val="0048323C"/>
    <w:rsid w:val="0048413A"/>
    <w:rsid w:val="004857A9"/>
    <w:rsid w:val="00494592"/>
    <w:rsid w:val="00494C26"/>
    <w:rsid w:val="004A632F"/>
    <w:rsid w:val="004B0723"/>
    <w:rsid w:val="004B2AE4"/>
    <w:rsid w:val="004B2C5F"/>
    <w:rsid w:val="004C0373"/>
    <w:rsid w:val="004C21B4"/>
    <w:rsid w:val="004C349B"/>
    <w:rsid w:val="004D7F28"/>
    <w:rsid w:val="004E09FF"/>
    <w:rsid w:val="004E440B"/>
    <w:rsid w:val="004E634B"/>
    <w:rsid w:val="004F421C"/>
    <w:rsid w:val="004F65A2"/>
    <w:rsid w:val="004F6CC3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E2C"/>
    <w:rsid w:val="00540FF0"/>
    <w:rsid w:val="00543B76"/>
    <w:rsid w:val="005443F4"/>
    <w:rsid w:val="00553B2D"/>
    <w:rsid w:val="00561FA2"/>
    <w:rsid w:val="00563C16"/>
    <w:rsid w:val="00564866"/>
    <w:rsid w:val="005677A8"/>
    <w:rsid w:val="0057394E"/>
    <w:rsid w:val="0057434D"/>
    <w:rsid w:val="0058056D"/>
    <w:rsid w:val="00582C4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49CA"/>
    <w:rsid w:val="005D5308"/>
    <w:rsid w:val="005D722E"/>
    <w:rsid w:val="005E1279"/>
    <w:rsid w:val="005E47A0"/>
    <w:rsid w:val="005E6EA5"/>
    <w:rsid w:val="005E7AF4"/>
    <w:rsid w:val="005F0A55"/>
    <w:rsid w:val="005F0B95"/>
    <w:rsid w:val="005F0C3A"/>
    <w:rsid w:val="006004FD"/>
    <w:rsid w:val="0060395B"/>
    <w:rsid w:val="00605028"/>
    <w:rsid w:val="00606CD6"/>
    <w:rsid w:val="0061064D"/>
    <w:rsid w:val="00612229"/>
    <w:rsid w:val="00613756"/>
    <w:rsid w:val="006165CA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11DC"/>
    <w:rsid w:val="006633FD"/>
    <w:rsid w:val="006659BF"/>
    <w:rsid w:val="00670FF0"/>
    <w:rsid w:val="006715F8"/>
    <w:rsid w:val="006730F5"/>
    <w:rsid w:val="006761AD"/>
    <w:rsid w:val="006802CC"/>
    <w:rsid w:val="0068159D"/>
    <w:rsid w:val="00681794"/>
    <w:rsid w:val="0068197A"/>
    <w:rsid w:val="00683A69"/>
    <w:rsid w:val="00685E5A"/>
    <w:rsid w:val="00686A79"/>
    <w:rsid w:val="00686B27"/>
    <w:rsid w:val="00690F92"/>
    <w:rsid w:val="006A517C"/>
    <w:rsid w:val="006A5A8D"/>
    <w:rsid w:val="006A6732"/>
    <w:rsid w:val="006B051C"/>
    <w:rsid w:val="006B0B48"/>
    <w:rsid w:val="006B7627"/>
    <w:rsid w:val="006C47C6"/>
    <w:rsid w:val="006C49CB"/>
    <w:rsid w:val="006C55A6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0FC2"/>
    <w:rsid w:val="00724997"/>
    <w:rsid w:val="00724C64"/>
    <w:rsid w:val="00726FA1"/>
    <w:rsid w:val="00727E17"/>
    <w:rsid w:val="00735DFD"/>
    <w:rsid w:val="007360B7"/>
    <w:rsid w:val="00740D09"/>
    <w:rsid w:val="007526C5"/>
    <w:rsid w:val="00753FB8"/>
    <w:rsid w:val="00754A80"/>
    <w:rsid w:val="00755CBE"/>
    <w:rsid w:val="0075693E"/>
    <w:rsid w:val="00757B44"/>
    <w:rsid w:val="00762305"/>
    <w:rsid w:val="00763981"/>
    <w:rsid w:val="0076402A"/>
    <w:rsid w:val="00770895"/>
    <w:rsid w:val="00772F67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31FD"/>
    <w:rsid w:val="007A7BA9"/>
    <w:rsid w:val="007B04B0"/>
    <w:rsid w:val="007B2633"/>
    <w:rsid w:val="007C20C1"/>
    <w:rsid w:val="007C2752"/>
    <w:rsid w:val="007C5650"/>
    <w:rsid w:val="007C7847"/>
    <w:rsid w:val="007D0EC9"/>
    <w:rsid w:val="007D26C8"/>
    <w:rsid w:val="007D3656"/>
    <w:rsid w:val="007E5680"/>
    <w:rsid w:val="007E56C0"/>
    <w:rsid w:val="007F5660"/>
    <w:rsid w:val="007F6BD6"/>
    <w:rsid w:val="00810678"/>
    <w:rsid w:val="008148F2"/>
    <w:rsid w:val="00817333"/>
    <w:rsid w:val="00817FD7"/>
    <w:rsid w:val="00820D20"/>
    <w:rsid w:val="00821900"/>
    <w:rsid w:val="0082288C"/>
    <w:rsid w:val="008308AA"/>
    <w:rsid w:val="008334F6"/>
    <w:rsid w:val="0083350C"/>
    <w:rsid w:val="0083382E"/>
    <w:rsid w:val="00836F7E"/>
    <w:rsid w:val="008403E9"/>
    <w:rsid w:val="008454BE"/>
    <w:rsid w:val="008457E1"/>
    <w:rsid w:val="0084735C"/>
    <w:rsid w:val="008503A5"/>
    <w:rsid w:val="008508B9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950CF"/>
    <w:rsid w:val="008A062E"/>
    <w:rsid w:val="008A4953"/>
    <w:rsid w:val="008A4BB1"/>
    <w:rsid w:val="008A4DE0"/>
    <w:rsid w:val="008A60A3"/>
    <w:rsid w:val="008A633C"/>
    <w:rsid w:val="008A750A"/>
    <w:rsid w:val="008A792E"/>
    <w:rsid w:val="008B1F6F"/>
    <w:rsid w:val="008B2AE5"/>
    <w:rsid w:val="008B5909"/>
    <w:rsid w:val="008C1E8A"/>
    <w:rsid w:val="008C2FA9"/>
    <w:rsid w:val="008C78F0"/>
    <w:rsid w:val="008C7C31"/>
    <w:rsid w:val="008D1686"/>
    <w:rsid w:val="008D4BA0"/>
    <w:rsid w:val="008D623A"/>
    <w:rsid w:val="008E3D56"/>
    <w:rsid w:val="008E50F2"/>
    <w:rsid w:val="008E5AA6"/>
    <w:rsid w:val="008F1572"/>
    <w:rsid w:val="008F1E7D"/>
    <w:rsid w:val="008F246F"/>
    <w:rsid w:val="008F3B30"/>
    <w:rsid w:val="008F4223"/>
    <w:rsid w:val="009003F8"/>
    <w:rsid w:val="00903723"/>
    <w:rsid w:val="00911090"/>
    <w:rsid w:val="009115AD"/>
    <w:rsid w:val="00913839"/>
    <w:rsid w:val="00913B4E"/>
    <w:rsid w:val="00916412"/>
    <w:rsid w:val="0091764D"/>
    <w:rsid w:val="009237F1"/>
    <w:rsid w:val="00927D90"/>
    <w:rsid w:val="00930052"/>
    <w:rsid w:val="00931070"/>
    <w:rsid w:val="00933326"/>
    <w:rsid w:val="009345C5"/>
    <w:rsid w:val="009368FC"/>
    <w:rsid w:val="0093727F"/>
    <w:rsid w:val="00951419"/>
    <w:rsid w:val="00951F02"/>
    <w:rsid w:val="00952B78"/>
    <w:rsid w:val="00956523"/>
    <w:rsid w:val="00957141"/>
    <w:rsid w:val="009575ED"/>
    <w:rsid w:val="00957E2F"/>
    <w:rsid w:val="00960B8E"/>
    <w:rsid w:val="00962B95"/>
    <w:rsid w:val="0096538E"/>
    <w:rsid w:val="00967837"/>
    <w:rsid w:val="0097283D"/>
    <w:rsid w:val="00973763"/>
    <w:rsid w:val="00977090"/>
    <w:rsid w:val="00980790"/>
    <w:rsid w:val="00982091"/>
    <w:rsid w:val="0098254F"/>
    <w:rsid w:val="0098677F"/>
    <w:rsid w:val="009906A1"/>
    <w:rsid w:val="00990DDD"/>
    <w:rsid w:val="00991D7F"/>
    <w:rsid w:val="009934BB"/>
    <w:rsid w:val="009A1B5B"/>
    <w:rsid w:val="009A214B"/>
    <w:rsid w:val="009A34D9"/>
    <w:rsid w:val="009B186D"/>
    <w:rsid w:val="009B4CF8"/>
    <w:rsid w:val="009C2C22"/>
    <w:rsid w:val="009C3B64"/>
    <w:rsid w:val="009C4C91"/>
    <w:rsid w:val="009D2FA2"/>
    <w:rsid w:val="009D3F6E"/>
    <w:rsid w:val="009D4EB6"/>
    <w:rsid w:val="009D6011"/>
    <w:rsid w:val="009E2957"/>
    <w:rsid w:val="009E73B1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9BE"/>
    <w:rsid w:val="00A13C37"/>
    <w:rsid w:val="00A14F63"/>
    <w:rsid w:val="00A219EC"/>
    <w:rsid w:val="00A22D2B"/>
    <w:rsid w:val="00A244A1"/>
    <w:rsid w:val="00A24CAF"/>
    <w:rsid w:val="00A34FB4"/>
    <w:rsid w:val="00A35371"/>
    <w:rsid w:val="00A410BC"/>
    <w:rsid w:val="00A42577"/>
    <w:rsid w:val="00A46607"/>
    <w:rsid w:val="00A47C95"/>
    <w:rsid w:val="00A50088"/>
    <w:rsid w:val="00A50496"/>
    <w:rsid w:val="00A505D7"/>
    <w:rsid w:val="00A508BA"/>
    <w:rsid w:val="00A51795"/>
    <w:rsid w:val="00A54169"/>
    <w:rsid w:val="00A55949"/>
    <w:rsid w:val="00A605BB"/>
    <w:rsid w:val="00A60913"/>
    <w:rsid w:val="00A6140A"/>
    <w:rsid w:val="00A636D4"/>
    <w:rsid w:val="00A63F07"/>
    <w:rsid w:val="00A7087E"/>
    <w:rsid w:val="00A72EA2"/>
    <w:rsid w:val="00A76267"/>
    <w:rsid w:val="00A76EF2"/>
    <w:rsid w:val="00A82047"/>
    <w:rsid w:val="00A86045"/>
    <w:rsid w:val="00A873F1"/>
    <w:rsid w:val="00A876AC"/>
    <w:rsid w:val="00A905E6"/>
    <w:rsid w:val="00A90A6C"/>
    <w:rsid w:val="00A92363"/>
    <w:rsid w:val="00A92F9C"/>
    <w:rsid w:val="00A9674C"/>
    <w:rsid w:val="00AA01B1"/>
    <w:rsid w:val="00AA2BE1"/>
    <w:rsid w:val="00AA648A"/>
    <w:rsid w:val="00AA7D0D"/>
    <w:rsid w:val="00AB057F"/>
    <w:rsid w:val="00AB23AD"/>
    <w:rsid w:val="00AC065D"/>
    <w:rsid w:val="00AC06CC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23A0"/>
    <w:rsid w:val="00AF7C1E"/>
    <w:rsid w:val="00B01C00"/>
    <w:rsid w:val="00B06A1E"/>
    <w:rsid w:val="00B07479"/>
    <w:rsid w:val="00B07C77"/>
    <w:rsid w:val="00B11C81"/>
    <w:rsid w:val="00B12E85"/>
    <w:rsid w:val="00B1329D"/>
    <w:rsid w:val="00B22DA0"/>
    <w:rsid w:val="00B33C06"/>
    <w:rsid w:val="00B40704"/>
    <w:rsid w:val="00B433F7"/>
    <w:rsid w:val="00B44A61"/>
    <w:rsid w:val="00B457AD"/>
    <w:rsid w:val="00B46D05"/>
    <w:rsid w:val="00B4716B"/>
    <w:rsid w:val="00B47CFB"/>
    <w:rsid w:val="00B51764"/>
    <w:rsid w:val="00B52BBD"/>
    <w:rsid w:val="00B52CC3"/>
    <w:rsid w:val="00B55BE0"/>
    <w:rsid w:val="00B60664"/>
    <w:rsid w:val="00B63A57"/>
    <w:rsid w:val="00B65CE8"/>
    <w:rsid w:val="00B65DC9"/>
    <w:rsid w:val="00B675C5"/>
    <w:rsid w:val="00B70EB3"/>
    <w:rsid w:val="00B70EF8"/>
    <w:rsid w:val="00B72305"/>
    <w:rsid w:val="00B73B11"/>
    <w:rsid w:val="00B75043"/>
    <w:rsid w:val="00B75495"/>
    <w:rsid w:val="00B75897"/>
    <w:rsid w:val="00B77F79"/>
    <w:rsid w:val="00B80397"/>
    <w:rsid w:val="00B80805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109"/>
    <w:rsid w:val="00BD7643"/>
    <w:rsid w:val="00BE2363"/>
    <w:rsid w:val="00BE24C6"/>
    <w:rsid w:val="00BE2765"/>
    <w:rsid w:val="00BE3BE4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0661"/>
    <w:rsid w:val="00C03B92"/>
    <w:rsid w:val="00C072DE"/>
    <w:rsid w:val="00C0755D"/>
    <w:rsid w:val="00C12029"/>
    <w:rsid w:val="00C1474A"/>
    <w:rsid w:val="00C20934"/>
    <w:rsid w:val="00C24F82"/>
    <w:rsid w:val="00C255A5"/>
    <w:rsid w:val="00C25694"/>
    <w:rsid w:val="00C27A75"/>
    <w:rsid w:val="00C27EA3"/>
    <w:rsid w:val="00C34F31"/>
    <w:rsid w:val="00C35605"/>
    <w:rsid w:val="00C42E6F"/>
    <w:rsid w:val="00C43A80"/>
    <w:rsid w:val="00C50D14"/>
    <w:rsid w:val="00C518D5"/>
    <w:rsid w:val="00C5265F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A70A9"/>
    <w:rsid w:val="00CB2BD4"/>
    <w:rsid w:val="00CB656D"/>
    <w:rsid w:val="00CB7ADD"/>
    <w:rsid w:val="00CC1419"/>
    <w:rsid w:val="00CC176E"/>
    <w:rsid w:val="00CC63B5"/>
    <w:rsid w:val="00CD253A"/>
    <w:rsid w:val="00CD3976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3FF3"/>
    <w:rsid w:val="00D15F95"/>
    <w:rsid w:val="00D16A0C"/>
    <w:rsid w:val="00D1740E"/>
    <w:rsid w:val="00D2159D"/>
    <w:rsid w:val="00D2381A"/>
    <w:rsid w:val="00D23E16"/>
    <w:rsid w:val="00D24B09"/>
    <w:rsid w:val="00D2773F"/>
    <w:rsid w:val="00D30FF8"/>
    <w:rsid w:val="00D32829"/>
    <w:rsid w:val="00D3395D"/>
    <w:rsid w:val="00D44CFE"/>
    <w:rsid w:val="00D51DA4"/>
    <w:rsid w:val="00D54556"/>
    <w:rsid w:val="00D54F14"/>
    <w:rsid w:val="00D55BF1"/>
    <w:rsid w:val="00D620EA"/>
    <w:rsid w:val="00D64D31"/>
    <w:rsid w:val="00D65A55"/>
    <w:rsid w:val="00D7594C"/>
    <w:rsid w:val="00D76C24"/>
    <w:rsid w:val="00D77B21"/>
    <w:rsid w:val="00D80BBA"/>
    <w:rsid w:val="00D81E83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B72EB"/>
    <w:rsid w:val="00DC2387"/>
    <w:rsid w:val="00DC28EA"/>
    <w:rsid w:val="00DC32D5"/>
    <w:rsid w:val="00DC4AD6"/>
    <w:rsid w:val="00DD020E"/>
    <w:rsid w:val="00DD16EE"/>
    <w:rsid w:val="00DD25D8"/>
    <w:rsid w:val="00DD2F28"/>
    <w:rsid w:val="00DD43A7"/>
    <w:rsid w:val="00DD78D6"/>
    <w:rsid w:val="00DE1D1E"/>
    <w:rsid w:val="00DE1DA1"/>
    <w:rsid w:val="00DE6B92"/>
    <w:rsid w:val="00DF2F06"/>
    <w:rsid w:val="00DF3836"/>
    <w:rsid w:val="00DF7FCD"/>
    <w:rsid w:val="00E01068"/>
    <w:rsid w:val="00E02FA6"/>
    <w:rsid w:val="00E038A4"/>
    <w:rsid w:val="00E059CE"/>
    <w:rsid w:val="00E1021F"/>
    <w:rsid w:val="00E11B0B"/>
    <w:rsid w:val="00E13B9E"/>
    <w:rsid w:val="00E15AE3"/>
    <w:rsid w:val="00E16235"/>
    <w:rsid w:val="00E16C69"/>
    <w:rsid w:val="00E17007"/>
    <w:rsid w:val="00E221AA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2742"/>
    <w:rsid w:val="00EA4119"/>
    <w:rsid w:val="00EA4DC4"/>
    <w:rsid w:val="00EB1A10"/>
    <w:rsid w:val="00EB2238"/>
    <w:rsid w:val="00EB22FE"/>
    <w:rsid w:val="00EB291E"/>
    <w:rsid w:val="00EB55B6"/>
    <w:rsid w:val="00EC00CD"/>
    <w:rsid w:val="00EC2E73"/>
    <w:rsid w:val="00EC4AF3"/>
    <w:rsid w:val="00ED478A"/>
    <w:rsid w:val="00ED64A1"/>
    <w:rsid w:val="00ED6F83"/>
    <w:rsid w:val="00ED7227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1630D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430DD"/>
    <w:rsid w:val="00F44890"/>
    <w:rsid w:val="00F51548"/>
    <w:rsid w:val="00F51C5F"/>
    <w:rsid w:val="00F547A3"/>
    <w:rsid w:val="00F56C52"/>
    <w:rsid w:val="00F56CA0"/>
    <w:rsid w:val="00F5755C"/>
    <w:rsid w:val="00F57A77"/>
    <w:rsid w:val="00F57D2D"/>
    <w:rsid w:val="00F61D12"/>
    <w:rsid w:val="00F64135"/>
    <w:rsid w:val="00F65AE2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B267D"/>
    <w:rsid w:val="00FB66DE"/>
    <w:rsid w:val="00FC1846"/>
    <w:rsid w:val="00FC7C08"/>
    <w:rsid w:val="00FD0494"/>
    <w:rsid w:val="00FD2B43"/>
    <w:rsid w:val="00FD50E7"/>
    <w:rsid w:val="00FD52C3"/>
    <w:rsid w:val="00FD6BE0"/>
    <w:rsid w:val="00FE2842"/>
    <w:rsid w:val="00FE386B"/>
    <w:rsid w:val="00FE4F29"/>
    <w:rsid w:val="00FF22C2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A9CE0D4-2A3E-44C1-8194-987CCC8D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Meg Johnson</cp:lastModifiedBy>
  <cp:revision>9</cp:revision>
  <cp:lastPrinted>2015-04-04T22:33:00Z</cp:lastPrinted>
  <dcterms:created xsi:type="dcterms:W3CDTF">2015-04-03T21:39:00Z</dcterms:created>
  <dcterms:modified xsi:type="dcterms:W3CDTF">2015-04-04T22:33:00Z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zotero-version="4.0.26.1"&gt;&lt;session id="fvViOkXT"/&gt;&lt;style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