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9A4486" w:rsidRDefault="00B06A1E" w:rsidP="009A4486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9A4486">
        <w:rPr>
          <w:rFonts w:ascii="Gentium Book Basic" w:hAnsi="Gentium Book Basic" w:cs="Times New Roman"/>
          <w:b/>
          <w:sz w:val="28"/>
          <w:szCs w:val="28"/>
        </w:rPr>
        <w:t xml:space="preserve">Mark </w:t>
      </w:r>
      <w:r w:rsidR="009F0DC1" w:rsidRPr="009A4486">
        <w:rPr>
          <w:rFonts w:ascii="Gentium Book Basic" w:hAnsi="Gentium Book Basic" w:cs="Times New Roman"/>
          <w:b/>
          <w:sz w:val="28"/>
          <w:szCs w:val="28"/>
        </w:rPr>
        <w:t>1</w:t>
      </w:r>
      <w:r w:rsidR="00762305" w:rsidRPr="009A4486">
        <w:rPr>
          <w:rFonts w:ascii="Gentium Book Basic" w:hAnsi="Gentium Book Basic" w:cs="Times New Roman"/>
          <w:b/>
          <w:sz w:val="28"/>
          <w:szCs w:val="28"/>
        </w:rPr>
        <w:t>2</w:t>
      </w:r>
      <w:r w:rsidR="004B0723" w:rsidRPr="009A4486">
        <w:rPr>
          <w:rFonts w:ascii="Gentium Book Basic" w:hAnsi="Gentium Book Basic" w:cs="Times New Roman"/>
          <w:b/>
          <w:sz w:val="28"/>
          <w:szCs w:val="28"/>
        </w:rPr>
        <w:t>:1-</w:t>
      </w:r>
      <w:r w:rsidR="00762305" w:rsidRPr="009A4486">
        <w:rPr>
          <w:rFonts w:ascii="Gentium Book Basic" w:hAnsi="Gentium Book Basic" w:cs="Times New Roman"/>
          <w:b/>
          <w:sz w:val="28"/>
          <w:szCs w:val="28"/>
        </w:rPr>
        <w:t>44</w:t>
      </w:r>
      <w:r w:rsidR="009A4486" w:rsidRPr="009A4486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160"/>
      </w:tblGrid>
      <w:tr w:rsidR="00322851" w:rsidRPr="009A4486" w:rsidTr="00322851">
        <w:tc>
          <w:tcPr>
            <w:tcW w:w="8640" w:type="dxa"/>
            <w:tcBorders>
              <w:right w:val="single" w:sz="4" w:space="0" w:color="auto"/>
            </w:tcBorders>
          </w:tcPr>
          <w:p w:rsidR="004318F0" w:rsidRDefault="004318F0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</w:p>
          <w:p w:rsidR="004318F0" w:rsidRDefault="004318F0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</w:p>
          <w:p w:rsidR="004318F0" w:rsidRDefault="004318F0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</w:p>
          <w:p w:rsidR="004318F0" w:rsidRDefault="004318F0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Then He began to speak to them in parables: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 man planted a vineyard and set a hedge around it, dug a place for the wine vat and built a tower. And he leased it to vinedressers and went into a far country.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Now at vintage-time he sent a servant to the vinedressers, that he might receive some of the fruit of the vineyard from the vinedressers.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they took him and beat him and sent him away empty-handed.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Again he sent them another servant, and at him they threw stones, wounded him in the head, and sent him away shamefully treated.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5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again he sent another, and him they killed; and many others, beating some and killing some.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6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Therefore still having one son, his beloved, he also sent him to them last, saying,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They will respect my son.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7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But those vinedressers said among themselves,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This is the heir. Come, let us kill him, and the inheritance will be ours.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8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So they took him and killed him and cast him out of the vineyard.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9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Therefore what will the owner of the vineyard do? He will come and destroy the vinedressers, and give the vineyard to others.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10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Have you not even read this Scripture: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 stone which the builders rejected Has become the chief cornerstone.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11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This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was the LORD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 doing, And it is marve</w:t>
            </w:r>
            <w:r w:rsidR="00BF4998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lous in our eyes’</w:t>
            </w:r>
            <w:bookmarkStart w:id="0" w:name="_GoBack"/>
            <w:bookmarkEnd w:id="0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?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12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sought to lay hands on Him, but feared the multitude, for they knew He had spoken the parable against them. So they left Him and went away.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13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sent to Him some of the Pharisees and the </w:t>
            </w:r>
            <w:proofErr w:type="spellStart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Herodians</w:t>
            </w:r>
            <w:proofErr w:type="spell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, to catch Him in His words.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14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had come, they said to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Teacher, we know that You are true, and care about no one; for You do not regard the person of men, but teach the way of God in truth. Is it lawful to pay taxes to Caesar, or not?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15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Shall we pay, or shall we not pay?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He, knowing their hypocrisy, said to them,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Why do you test Me? Bring Me a denarius that I may see it.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16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brought it. And He said to them,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Whose image and inscription is this?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said to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Caesar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17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 answered and said to them,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Render to Caesar the things that are Caesar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s, and to God the things that are God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they marveled at Him.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18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some Sadducees, who say there is no resurrection, came to Him; and they asked Him, saying: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19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Teacher, Moses wrote to us that if a man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 brother dies, and leaves his wife behind, and leaves no children, his brother should take his wife and raise up offspring for his brother.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20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Now there were seven brothers. The first took a wife; and dying, he left no offspring.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21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the second took her, and he died; nor did he leave any offspring. And the third likewise.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22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So the seven had her and left no offspring. Last of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all the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woman died also.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23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Therefore, in the resurrection, when they rise, whose wife will she be? For all seven had her as wife.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24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answered and said to them,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Are you not therefore mistaken, because you do not know the Scriptures nor the power of God?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25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For when they rise from the dead, they neither marry nor are given in marriage, but are like angels in heaven.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26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> 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But concerning the dead, that they rise, have you not read in the book of Moses,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lastRenderedPageBreak/>
              <w:t>in the burning bush passage, how God spoke to him, saying,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I am the God of Abraham, the God of Isaac, and the God of Jacob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?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27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is not the God of the dead, but the God of the living. You are therefore greatly mistaken.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28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one of the scribes came, and having heard them reasoning together, perceiving that He had answered them well, asked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Which is the first commandment of all?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29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answered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 first of all the commandments is: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Hear, O Israel, the LORD our God, the LORD is one.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30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And you shall love the LORD your God with all your heart, with all your soul, with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all your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mind, and with all your strength.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This is the first commandment.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31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the second, like it, is this: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You shall love your neighbor as yourself.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There is no other commandment greater than these.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32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 scribe said to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Well said, Teacher. You have spoken the truth, for there is one God, and there is no other but He.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33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to love Him with all the heart, with all the understanding, with all the soul, and with all the strength, and to love one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 neighbor as oneself, is more than all the whole burnt offerings and sacrifices.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34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Jesus saw that he answered wisely, He said to him,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You are not far from the kingdom of God.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after that no one dared question Him.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35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 answered and said, while He taught in the temple,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How is it that the scribes say that the Christ is the Son of David?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36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For David himself said by the Holy Spirit: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The LORD said to my Lord,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Sit at My right hand, Till I make Your enemies Your footstool.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37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Therefore David himself calls Him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‘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Lord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; how is He then his Son?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the common people heard Him gladly.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4318F0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38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He said to them in His teaching,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Beware of the scribes, who desire to go around in long robes, love greetings in the marketplaces,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39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 best seats in the synagogues, and the best places at feasts,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40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who devour widows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’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houses, and for a pretense make long prayers. These will receive greater condemnation.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22851" w:rsidRPr="009A4486" w:rsidRDefault="00762305" w:rsidP="004318F0">
            <w:pPr>
              <w:tabs>
                <w:tab w:val="left" w:pos="720"/>
              </w:tabs>
              <w:spacing w:line="276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41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Jesus sat opposite the treasury and saw how the people put money into the treasury. And many who were rich put in much.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42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</w:t>
            </w:r>
            <w:proofErr w:type="gram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one poor widow came and threw in two mites, which make a </w:t>
            </w:r>
            <w:proofErr w:type="spellStart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quadrans</w:t>
            </w:r>
            <w:proofErr w:type="spellEnd"/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.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43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 He called His disciples to Himself and said to them,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Assuredly, I say to you that this poor widow has put in more than all those who have given to the treasury;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44 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9A4486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for they all put in out of their abundance, but she out of her poverty put in all that she had, her whole livelihood.</w:t>
            </w:r>
            <w:r w:rsidR="004318F0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4318F0" w:rsidRP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75433F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lastRenderedPageBreak/>
              <w:t>Third Trip to the Temple (11:20–13:37)</w:t>
            </w:r>
          </w:p>
          <w:p w:rsidR="00322851" w:rsidRDefault="00322851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Parable about Jesus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’</w:t>
            </w: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 xml:space="preserve"> Authority (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1</w:t>
            </w: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–12)</w:t>
            </w: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Pr="00D25626" w:rsidRDefault="00D25626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1. Based on the prior context (11:27–33), how should we interpret the details of this parable?</w:t>
            </w: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Jesus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’</w:t>
            </w: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 xml:space="preserve"> A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uthority to Meet Challenges (</w:t>
            </w: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13–34)</w:t>
            </w: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D25626" w:rsidP="00D25626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D25626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2. </w:t>
            </w: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With the exception of the scribe in 28–34, how do the religious leaders respond to Jesus in this passage?</w:t>
            </w: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</w:p>
          <w:p w:rsidR="004318F0" w:rsidRDefault="004318F0" w:rsidP="004318F0">
            <w:pPr>
              <w:spacing w:line="276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Je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sus’ Authority to Challenge (</w:t>
            </w:r>
            <w:r w:rsidRPr="004318F0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35–44)</w:t>
            </w: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B5639D" w:rsidRPr="00B5639D" w:rsidRDefault="00B5639D" w:rsidP="004318F0">
            <w:pPr>
              <w:spacing w:line="276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3. </w:t>
            </w:r>
            <w:r>
              <w:rPr>
                <w:rFonts w:ascii="Gentium Book Basic" w:hAnsi="Gentium Book Basic"/>
                <w:i/>
                <w:iCs/>
                <w:sz w:val="24"/>
                <w:szCs w:val="24"/>
              </w:rPr>
              <w:t>What does this chapter tell us about Jesus?</w:t>
            </w:r>
          </w:p>
        </w:tc>
      </w:tr>
    </w:tbl>
    <w:p w:rsidR="0085179F" w:rsidRPr="004318F0" w:rsidRDefault="0085179F" w:rsidP="004318F0"/>
    <w:sectPr w:rsidR="0085179F" w:rsidRPr="004318F0" w:rsidSect="00A65155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60" w:rsidRDefault="00565860" w:rsidP="001E73CB">
      <w:r>
        <w:separator/>
      </w:r>
    </w:p>
  </w:endnote>
  <w:endnote w:type="continuationSeparator" w:id="0">
    <w:p w:rsidR="00565860" w:rsidRDefault="00565860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60" w:rsidRDefault="00565860" w:rsidP="001E73CB">
      <w:r>
        <w:separator/>
      </w:r>
    </w:p>
  </w:footnote>
  <w:footnote w:type="continuationSeparator" w:id="0">
    <w:p w:rsidR="00565860" w:rsidRDefault="00565860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123AD7"/>
    <w:rsid w:val="00143B24"/>
    <w:rsid w:val="001557F3"/>
    <w:rsid w:val="001E73CB"/>
    <w:rsid w:val="001F2729"/>
    <w:rsid w:val="00226141"/>
    <w:rsid w:val="0024316E"/>
    <w:rsid w:val="0024619B"/>
    <w:rsid w:val="002F6AE7"/>
    <w:rsid w:val="00322851"/>
    <w:rsid w:val="003426B0"/>
    <w:rsid w:val="00374DA5"/>
    <w:rsid w:val="003E188A"/>
    <w:rsid w:val="003E4773"/>
    <w:rsid w:val="004318F0"/>
    <w:rsid w:val="004334DD"/>
    <w:rsid w:val="004857A9"/>
    <w:rsid w:val="00494592"/>
    <w:rsid w:val="004B0723"/>
    <w:rsid w:val="00565860"/>
    <w:rsid w:val="0060395B"/>
    <w:rsid w:val="006314FC"/>
    <w:rsid w:val="00633C08"/>
    <w:rsid w:val="00757B44"/>
    <w:rsid w:val="00762305"/>
    <w:rsid w:val="00786977"/>
    <w:rsid w:val="007C20C1"/>
    <w:rsid w:val="00821900"/>
    <w:rsid w:val="00836F7E"/>
    <w:rsid w:val="0085179F"/>
    <w:rsid w:val="0088714D"/>
    <w:rsid w:val="008C78F0"/>
    <w:rsid w:val="008F1572"/>
    <w:rsid w:val="008F1E7D"/>
    <w:rsid w:val="009368FC"/>
    <w:rsid w:val="00967837"/>
    <w:rsid w:val="009A4486"/>
    <w:rsid w:val="009E7EE5"/>
    <w:rsid w:val="009F0DC1"/>
    <w:rsid w:val="00A35371"/>
    <w:rsid w:val="00A51795"/>
    <w:rsid w:val="00A65155"/>
    <w:rsid w:val="00A9674C"/>
    <w:rsid w:val="00B06A1E"/>
    <w:rsid w:val="00B47CFB"/>
    <w:rsid w:val="00B5639D"/>
    <w:rsid w:val="00B63A57"/>
    <w:rsid w:val="00B77F79"/>
    <w:rsid w:val="00B92293"/>
    <w:rsid w:val="00BA3D35"/>
    <w:rsid w:val="00BD0810"/>
    <w:rsid w:val="00BF4998"/>
    <w:rsid w:val="00C65413"/>
    <w:rsid w:val="00C84C0A"/>
    <w:rsid w:val="00CD253A"/>
    <w:rsid w:val="00CE1C6A"/>
    <w:rsid w:val="00D25626"/>
    <w:rsid w:val="00D80BBA"/>
    <w:rsid w:val="00D83714"/>
    <w:rsid w:val="00DA5F6E"/>
    <w:rsid w:val="00DC32D5"/>
    <w:rsid w:val="00DC483A"/>
    <w:rsid w:val="00DD2F28"/>
    <w:rsid w:val="00DD78D6"/>
    <w:rsid w:val="00E059CE"/>
    <w:rsid w:val="00E3533D"/>
    <w:rsid w:val="00E3712D"/>
    <w:rsid w:val="00E76E4A"/>
    <w:rsid w:val="00E9195C"/>
    <w:rsid w:val="00E92A91"/>
    <w:rsid w:val="00EB55B6"/>
    <w:rsid w:val="00F37F57"/>
    <w:rsid w:val="00F5755C"/>
    <w:rsid w:val="00FA7564"/>
    <w:rsid w:val="00FD1881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68C6594-3E52-4637-9D9C-8668A04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2012-11-23T22:38:00Z</cp:lastPrinted>
  <dcterms:created xsi:type="dcterms:W3CDTF">2012-11-23T23:02:00Z</dcterms:created>
  <dcterms:modified xsi:type="dcterms:W3CDTF">2013-02-28T23:47:00Z</dcterms:modified>
</cp:coreProperties>
</file>