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290EAC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1: </w:t>
      </w: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  <w:r>
        <w:rPr>
          <w:rFonts w:ascii="Gentium Book Basic" w:hAnsi="Gentium Book Basic" w:cs="Times New Roman"/>
          <w:b/>
          <w:sz w:val="28"/>
          <w:szCs w:val="28"/>
        </w:rPr>
        <w:t xml:space="preserve"> of </w:t>
      </w:r>
      <w:r w:rsidR="00290EAC">
        <w:rPr>
          <w:rFonts w:ascii="Gentium Book Basic" w:hAnsi="Gentium Book Basic" w:cs="Times New Roman"/>
          <w:b/>
          <w:sz w:val="28"/>
          <w:szCs w:val="28"/>
        </w:rPr>
        <w:t>1 &amp; 2 Thessalonians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6949B6" w:rsidRPr="00D420BF" w:rsidRDefault="006949B6" w:rsidP="00D420BF">
      <w:pPr>
        <w:pStyle w:val="Instructions"/>
        <w:rPr>
          <w:i/>
          <w:iCs/>
        </w:rPr>
      </w:pPr>
      <w:r>
        <w:t>Background</w:t>
      </w:r>
      <w:r w:rsidR="00D420BF">
        <w:t xml:space="preserve">: </w:t>
      </w:r>
      <w:r w:rsidRPr="00D420BF">
        <w:rPr>
          <w:b w:val="0"/>
          <w:bCs w:val="0"/>
          <w:i/>
          <w:iCs/>
        </w:rPr>
        <w:t>You may want to consult a study Bible or Bible dictionary for help with these questions.</w:t>
      </w:r>
    </w:p>
    <w:p w:rsidR="00072B53" w:rsidRDefault="00072B53" w:rsidP="00072B53">
      <w:pPr>
        <w:pStyle w:val="Question"/>
        <w:ind w:left="360"/>
      </w:pPr>
      <w:r>
        <w:t xml:space="preserve">Consult Acts 17:1–10 and 1 Thess. 1:9. What do we learn from these texts about the people, situation, and background of the church in Thessalonica? </w:t>
      </w:r>
      <w:r w:rsidRPr="00072B53">
        <w:rPr>
          <w:b/>
          <w:bCs/>
          <w:vanish/>
          <w:color w:val="FF0000"/>
        </w:rPr>
        <w:t>p</w:t>
      </w:r>
      <w:r>
        <w:rPr>
          <w:b/>
          <w:bCs/>
          <w:vanish/>
          <w:color w:val="FF0000"/>
        </w:rPr>
        <w:t>p</w:t>
      </w:r>
      <w:r w:rsidRPr="00072B53">
        <w:rPr>
          <w:b/>
          <w:bCs/>
          <w:vanish/>
          <w:color w:val="FF0000"/>
        </w:rPr>
        <w:t>. 443–444</w:t>
      </w:r>
    </w:p>
    <w:p w:rsidR="00072B53" w:rsidRDefault="00072B53" w:rsidP="00072B53">
      <w:pPr>
        <w:pStyle w:val="Lines"/>
      </w:pPr>
    </w:p>
    <w:p w:rsidR="00072B53" w:rsidRDefault="00072B53" w:rsidP="00072B53">
      <w:pPr>
        <w:pStyle w:val="Lines"/>
      </w:pPr>
    </w:p>
    <w:p w:rsidR="00072B53" w:rsidRDefault="00072B53" w:rsidP="00072B53">
      <w:pPr>
        <w:pStyle w:val="Lines"/>
      </w:pPr>
    </w:p>
    <w:p w:rsidR="00680410" w:rsidRDefault="00680410" w:rsidP="007164BD">
      <w:pPr>
        <w:pStyle w:val="Question"/>
        <w:ind w:left="360"/>
      </w:pPr>
      <w:r>
        <w:t xml:space="preserve">What do we learn from 1 Thess. 3:1–10 about the </w:t>
      </w:r>
      <w:r w:rsidR="007164BD">
        <w:t xml:space="preserve">chain of events </w:t>
      </w:r>
      <w:r>
        <w:t>that prompted this letter?</w:t>
      </w: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E059CE" w:rsidRPr="00AF38E1" w:rsidRDefault="008D262F" w:rsidP="005C1142">
      <w:pPr>
        <w:pStyle w:val="Instructions"/>
        <w:rPr>
          <w:b w:val="0"/>
          <w:bCs w:val="0"/>
        </w:rPr>
      </w:pPr>
      <w:r w:rsidRPr="00AF38E1">
        <w:t>Major Themes</w:t>
      </w:r>
      <w:r w:rsidR="00AF38E1">
        <w:t xml:space="preserve">: </w:t>
      </w:r>
      <w:r w:rsidR="00AF38E1" w:rsidRPr="00AF38E1">
        <w:rPr>
          <w:b w:val="0"/>
          <w:bCs w:val="0"/>
        </w:rPr>
        <w:t xml:space="preserve">Based </w:t>
      </w:r>
      <w:r w:rsidR="005C1142">
        <w:rPr>
          <w:b w:val="0"/>
          <w:bCs w:val="0"/>
        </w:rPr>
        <w:t>on a quick read of the text</w:t>
      </w:r>
      <w:r w:rsidR="00AF38E1" w:rsidRPr="00AF38E1">
        <w:rPr>
          <w:b w:val="0"/>
          <w:bCs w:val="0"/>
        </w:rPr>
        <w:t xml:space="preserve">, try to </w:t>
      </w:r>
      <w:r w:rsidR="00AF38E1">
        <w:rPr>
          <w:b w:val="0"/>
          <w:bCs w:val="0"/>
        </w:rPr>
        <w:t>draw some preliminary conclusions about</w:t>
      </w:r>
      <w:r w:rsidR="00760FC7">
        <w:rPr>
          <w:b w:val="0"/>
          <w:bCs w:val="0"/>
        </w:rPr>
        <w:t xml:space="preserve"> the message and emphasis of the</w:t>
      </w:r>
      <w:r w:rsidR="00AF38E1">
        <w:rPr>
          <w:b w:val="0"/>
          <w:bCs w:val="0"/>
        </w:rPr>
        <w:t>s</w:t>
      </w:r>
      <w:r w:rsidR="00760FC7">
        <w:rPr>
          <w:b w:val="0"/>
          <w:bCs w:val="0"/>
        </w:rPr>
        <w:t>e</w:t>
      </w:r>
      <w:r w:rsidR="00AF38E1">
        <w:rPr>
          <w:b w:val="0"/>
          <w:bCs w:val="0"/>
        </w:rPr>
        <w:t xml:space="preserve"> book</w:t>
      </w:r>
      <w:r w:rsidR="00760FC7">
        <w:rPr>
          <w:b w:val="0"/>
          <w:bCs w:val="0"/>
        </w:rPr>
        <w:t>s</w:t>
      </w:r>
      <w:r w:rsidR="00AF38E1">
        <w:rPr>
          <w:b w:val="0"/>
          <w:bCs w:val="0"/>
        </w:rPr>
        <w:t>.</w:t>
      </w:r>
    </w:p>
    <w:p w:rsidR="005C1142" w:rsidRDefault="005C1142" w:rsidP="005C1142">
      <w:pPr>
        <w:pStyle w:val="Question"/>
        <w:ind w:left="360"/>
      </w:pPr>
      <w:r>
        <w:t>Read through 1 Thessalonians and list the specific needs of the church that</w:t>
      </w:r>
      <w:r w:rsidRPr="005C1142">
        <w:t xml:space="preserve"> </w:t>
      </w:r>
      <w:r>
        <w:t xml:space="preserve">Paul addresses. </w:t>
      </w:r>
      <w:r>
        <w:rPr>
          <w:b/>
          <w:bCs/>
          <w:vanish/>
          <w:color w:val="FF0000"/>
        </w:rPr>
        <w:t>p. 444</w:t>
      </w:r>
    </w:p>
    <w:p w:rsidR="005C1142" w:rsidRDefault="005C1142" w:rsidP="005C1142">
      <w:pPr>
        <w:pStyle w:val="Lines"/>
      </w:pPr>
      <w:bookmarkStart w:id="0" w:name="_GoBack"/>
      <w:bookmarkEnd w:id="0"/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Question"/>
        <w:ind w:left="360"/>
      </w:pPr>
      <w:r>
        <w:t>Read through 2 Thessalonians and list the specific needs of the church that</w:t>
      </w:r>
      <w:r w:rsidRPr="005C1142">
        <w:t xml:space="preserve"> </w:t>
      </w:r>
      <w:r>
        <w:t>Paul addresses.</w:t>
      </w:r>
      <w:r w:rsidRPr="005C1142">
        <w:rPr>
          <w:b/>
          <w:bCs/>
          <w:vanish/>
          <w:color w:val="FF0000"/>
        </w:rPr>
        <w:t xml:space="preserve"> </w:t>
      </w:r>
      <w:r>
        <w:rPr>
          <w:b/>
          <w:bCs/>
          <w:vanish/>
          <w:color w:val="FF0000"/>
        </w:rPr>
        <w:t>pp. 444–445</w:t>
      </w: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Default="005C1142" w:rsidP="005C1142">
      <w:pPr>
        <w:pStyle w:val="Lines"/>
      </w:pPr>
    </w:p>
    <w:p w:rsidR="005C1142" w:rsidRPr="005C1142" w:rsidRDefault="005C1142" w:rsidP="005C1142">
      <w:pPr>
        <w:pStyle w:val="Lines"/>
      </w:pPr>
    </w:p>
    <w:p w:rsidR="00110454" w:rsidRPr="00A231D5" w:rsidRDefault="00B1631C" w:rsidP="00B1631C">
      <w:pPr>
        <w:pStyle w:val="Question"/>
        <w:ind w:left="360"/>
      </w:pPr>
      <w:r>
        <w:t>Based on your reading of both letters, what are some major theological themes that you noticed</w:t>
      </w:r>
      <w:r w:rsidR="00AF38E1">
        <w:t>?</w:t>
      </w:r>
      <w:r w:rsidR="00992FAD">
        <w:t xml:space="preserve"> </w:t>
      </w:r>
      <w:r w:rsidR="00992FAD" w:rsidRPr="00992FAD">
        <w:rPr>
          <w:b/>
          <w:bCs/>
          <w:vanish/>
          <w:color w:val="FF0000"/>
        </w:rPr>
        <w:t>p</w:t>
      </w:r>
      <w:r>
        <w:rPr>
          <w:b/>
          <w:bCs/>
          <w:vanish/>
          <w:color w:val="FF0000"/>
        </w:rPr>
        <w:t>p</w:t>
      </w:r>
      <w:r w:rsidR="00992FAD" w:rsidRPr="00992FAD">
        <w:rPr>
          <w:b/>
          <w:bCs/>
          <w:vanish/>
          <w:color w:val="FF0000"/>
        </w:rPr>
        <w:t xml:space="preserve">. </w:t>
      </w:r>
      <w:r>
        <w:rPr>
          <w:b/>
          <w:bCs/>
          <w:vanish/>
          <w:color w:val="FF0000"/>
        </w:rPr>
        <w:t>452–458</w:t>
      </w:r>
    </w:p>
    <w:p w:rsidR="00110454" w:rsidRDefault="00110454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892462" w:rsidRDefault="00892462" w:rsidP="00110454">
      <w:pPr>
        <w:pStyle w:val="Lines"/>
      </w:pPr>
    </w:p>
    <w:p w:rsidR="00110454" w:rsidRDefault="00110454" w:rsidP="00110454">
      <w:pPr>
        <w:pStyle w:val="Lines"/>
      </w:pPr>
    </w:p>
    <w:p w:rsidR="00992FAD" w:rsidRDefault="00992FAD" w:rsidP="00110454">
      <w:pPr>
        <w:pStyle w:val="Lines"/>
      </w:pPr>
    </w:p>
    <w:p w:rsidR="00AF38E1" w:rsidRPr="00AF38E1" w:rsidRDefault="00AF38E1" w:rsidP="004A3B57">
      <w:pPr>
        <w:pStyle w:val="Instructions"/>
        <w:rPr>
          <w:b w:val="0"/>
          <w:bCs w:val="0"/>
        </w:rPr>
      </w:pPr>
      <w:r>
        <w:t xml:space="preserve">Personal Response: </w:t>
      </w:r>
      <w:r>
        <w:rPr>
          <w:b w:val="0"/>
          <w:bCs w:val="0"/>
        </w:rPr>
        <w:t xml:space="preserve">Reflect on the opportunity to study </w:t>
      </w:r>
      <w:r w:rsidR="004A3B57">
        <w:rPr>
          <w:b w:val="0"/>
          <w:bCs w:val="0"/>
        </w:rPr>
        <w:t>these</w:t>
      </w:r>
      <w:r>
        <w:rPr>
          <w:b w:val="0"/>
          <w:bCs w:val="0"/>
        </w:rPr>
        <w:t xml:space="preserve"> book</w:t>
      </w:r>
      <w:r w:rsidR="004A3B57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="00E03EDD">
        <w:rPr>
          <w:b w:val="0"/>
          <w:bCs w:val="0"/>
        </w:rPr>
        <w:t>with</w:t>
      </w:r>
      <w:r>
        <w:rPr>
          <w:b w:val="0"/>
          <w:bCs w:val="0"/>
        </w:rPr>
        <w:t xml:space="preserve"> </w:t>
      </w:r>
      <w:r w:rsidR="00E03EDD">
        <w:rPr>
          <w:b w:val="0"/>
          <w:bCs w:val="0"/>
        </w:rPr>
        <w:t xml:space="preserve">your Sunday </w:t>
      </w:r>
      <w:proofErr w:type="gramStart"/>
      <w:r w:rsidR="00E03EDD">
        <w:rPr>
          <w:b w:val="0"/>
          <w:bCs w:val="0"/>
        </w:rPr>
        <w:t>School</w:t>
      </w:r>
      <w:proofErr w:type="gramEnd"/>
      <w:r w:rsidR="00E03EDD">
        <w:rPr>
          <w:b w:val="0"/>
          <w:bCs w:val="0"/>
        </w:rPr>
        <w:t xml:space="preserve"> class</w:t>
      </w:r>
      <w:r>
        <w:rPr>
          <w:b w:val="0"/>
          <w:bCs w:val="0"/>
        </w:rPr>
        <w:t>.</w:t>
      </w:r>
    </w:p>
    <w:p w:rsidR="00AE6D5D" w:rsidRPr="008D262F" w:rsidRDefault="00AE4B3F" w:rsidP="00AF38E1">
      <w:pPr>
        <w:pStyle w:val="Question"/>
        <w:ind w:left="360"/>
      </w:pPr>
      <w:r w:rsidRPr="008D262F">
        <w:t xml:space="preserve">What topics from </w:t>
      </w:r>
      <w:r w:rsidR="008D262F">
        <w:t>the text</w:t>
      </w:r>
      <w:r w:rsidRPr="008D262F">
        <w:t xml:space="preserve"> are you excited about discussing</w:t>
      </w:r>
      <w:r w:rsidR="00AE6D5D" w:rsidRPr="008D262F">
        <w:t xml:space="preserve"> </w:t>
      </w:r>
      <w:r w:rsidR="00AF38E1">
        <w:t>together</w:t>
      </w:r>
      <w:r w:rsidRPr="008D262F">
        <w:t xml:space="preserve">?  </w:t>
      </w:r>
    </w:p>
    <w:p w:rsidR="00AE6D5D" w:rsidRPr="00D417C9" w:rsidRDefault="00AE6D5D" w:rsidP="00963F5B">
      <w:pPr>
        <w:pStyle w:val="Lines"/>
      </w:pPr>
    </w:p>
    <w:p w:rsidR="00AE6D5D" w:rsidRPr="00D417C9" w:rsidRDefault="00AE6D5D" w:rsidP="00963F5B">
      <w:pPr>
        <w:pStyle w:val="Lines"/>
      </w:pPr>
    </w:p>
    <w:p w:rsidR="00AE6D5D" w:rsidRPr="00D417C9" w:rsidRDefault="00AE6D5D" w:rsidP="00963F5B">
      <w:pPr>
        <w:pStyle w:val="Lines"/>
      </w:pPr>
    </w:p>
    <w:p w:rsidR="008A0ECE" w:rsidRDefault="008A0ECE" w:rsidP="009C7C08">
      <w:pPr>
        <w:pStyle w:val="Question"/>
        <w:ind w:left="360"/>
      </w:pPr>
      <w:r>
        <w:t>What are some of your favorite verses or passages in th</w:t>
      </w:r>
      <w:r w:rsidR="009C7C08">
        <w:t>e</w:t>
      </w:r>
      <w:r>
        <w:t>s</w:t>
      </w:r>
      <w:r w:rsidR="009C7C08">
        <w:t>e</w:t>
      </w:r>
      <w:r>
        <w:t xml:space="preserve"> book</w:t>
      </w:r>
      <w:r w:rsidR="009C7C08">
        <w:t>s</w:t>
      </w:r>
      <w:r>
        <w:t>?</w:t>
      </w:r>
    </w:p>
    <w:p w:rsidR="008A0ECE" w:rsidRDefault="008A0ECE" w:rsidP="008A0ECE">
      <w:pPr>
        <w:pStyle w:val="Lines"/>
      </w:pPr>
    </w:p>
    <w:p w:rsidR="008A0ECE" w:rsidRDefault="008A0ECE" w:rsidP="008A0ECE">
      <w:pPr>
        <w:pStyle w:val="Lines"/>
      </w:pPr>
    </w:p>
    <w:p w:rsidR="008A0ECE" w:rsidRPr="008A0ECE" w:rsidRDefault="008A0ECE" w:rsidP="008A0ECE">
      <w:pPr>
        <w:pStyle w:val="Lines"/>
      </w:pPr>
    </w:p>
    <w:p w:rsidR="00AE4B3F" w:rsidRDefault="00AE4B3F" w:rsidP="00360573">
      <w:pPr>
        <w:pStyle w:val="Question"/>
        <w:ind w:left="360"/>
      </w:pPr>
      <w:r w:rsidRPr="008D262F">
        <w:t>What questions do yo</w:t>
      </w:r>
      <w:r w:rsidR="008D262F">
        <w:t xml:space="preserve">u have </w:t>
      </w:r>
      <w:r w:rsidR="00360573">
        <w:t xml:space="preserve">about </w:t>
      </w:r>
      <w:r w:rsidR="009C7C08">
        <w:t>the</w:t>
      </w:r>
      <w:r w:rsidR="001050C6">
        <w:t>s</w:t>
      </w:r>
      <w:r w:rsidR="009C7C08">
        <w:t>e</w:t>
      </w:r>
      <w:r w:rsidRPr="008D262F">
        <w:t xml:space="preserve"> book</w:t>
      </w:r>
      <w:r w:rsidR="009C7C08">
        <w:t>s</w:t>
      </w:r>
      <w:r w:rsidRPr="008D262F">
        <w:t>?</w:t>
      </w: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p w:rsidR="006949B6" w:rsidRDefault="006949B6" w:rsidP="00963F5B">
      <w:pPr>
        <w:pStyle w:val="Lines"/>
      </w:pPr>
    </w:p>
    <w:tbl>
      <w:tblPr>
        <w:tblStyle w:val="TableGrid"/>
        <w:tblW w:w="10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3348"/>
      </w:tblGrid>
      <w:tr w:rsidR="00D420BF" w:rsidTr="008B1128">
        <w:tc>
          <w:tcPr>
            <w:tcW w:w="7578" w:type="dxa"/>
          </w:tcPr>
          <w:p w:rsidR="00652F06" w:rsidRDefault="00652F06" w:rsidP="00290EAC">
            <w:pPr>
              <w:widowControl w:val="0"/>
              <w:spacing w:before="120"/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lastRenderedPageBreak/>
              <w:t>Outlines</w:t>
            </w:r>
            <w:r>
              <w:rPr>
                <w:rStyle w:val="FootnoteReference"/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footnoteReference w:id="1"/>
            </w:r>
          </w:p>
          <w:p w:rsidR="00D420BF" w:rsidRPr="00D420BF" w:rsidRDefault="00F86303" w:rsidP="00652F06">
            <w:pPr>
              <w:widowControl w:val="0"/>
              <w:spacing w:before="120"/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t>1 Thessalonians</w:t>
            </w:r>
          </w:p>
          <w:p w:rsidR="00D420BF" w:rsidRPr="00DC40FB" w:rsidRDefault="00D420BF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DC40FB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INTRODUCTION</w:t>
            </w:r>
            <w:r w:rsid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 xml:space="preserve"> (1:1</w:t>
            </w:r>
            <w:r w:rsidRPr="00DC40FB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)</w:t>
            </w:r>
          </w:p>
          <w:p w:rsidR="00D420BF" w:rsidRPr="00DC40FB" w:rsidRDefault="00F86303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EXPRESSIONS OF THANKS AND LOVE FOR THE THESSALONIANS (1:2–3:13)</w:t>
            </w:r>
          </w:p>
          <w:p w:rsidR="00D420BF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First Prayer of Thanksgiving for the Thessalonians (1:2–10)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Paul’s Relationship with the Thessalonians During His Visit Demonstrating the Purity of His Motives for the Thessalonian Ministry (2:1–12)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Second Prayer of Thanksgiving for the Thessalonians (2:13–16)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Paul’s Relationship with the Thessalonians After His Departure (2:17–3:10)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8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Third Prayer of Thanksgiving Introducing the Three Major Topics of the Next Section: Personal Holiness, Christian Love, and the Second Coming (3:11–13)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AND INSTRUCTIONS (4:1–5:22)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Introduction to Exhortations (4:1–2)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 to Personal Holiness and Sexual Purity (4:3–8)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 to Christian Love and Responsible Living (4:9–12)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Instructions about the Second Coming (4:13–18)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Related to the Second Coming (5:1–11)</w:t>
            </w:r>
          </w:p>
          <w:p w:rsidR="00F86303" w:rsidRPr="00F86303" w:rsidRDefault="00F86303" w:rsidP="00D00593">
            <w:pPr>
              <w:widowControl w:val="0"/>
              <w:numPr>
                <w:ilvl w:val="0"/>
                <w:numId w:val="34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General Exhortations (5:12–22)</w:t>
            </w:r>
          </w:p>
          <w:p w:rsidR="00D420BF" w:rsidRPr="00F86303" w:rsidRDefault="00F86303" w:rsidP="00D00593">
            <w:pPr>
              <w:widowControl w:val="0"/>
              <w:numPr>
                <w:ilvl w:val="0"/>
                <w:numId w:val="7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CONCLUSION (5:23–28)</w:t>
            </w:r>
          </w:p>
          <w:p w:rsidR="00F86303" w:rsidRDefault="00F86303" w:rsidP="00F86303">
            <w:pPr>
              <w:widowControl w:val="0"/>
              <w:spacing w:before="24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</w:p>
          <w:p w:rsidR="00652F06" w:rsidRDefault="00652F06" w:rsidP="00F86303">
            <w:pPr>
              <w:widowControl w:val="0"/>
              <w:spacing w:before="24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</w:p>
          <w:p w:rsidR="008B1128" w:rsidRDefault="008B1128" w:rsidP="00F86303">
            <w:pPr>
              <w:widowControl w:val="0"/>
              <w:spacing w:before="240"/>
              <w:contextualSpacing/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b/>
                <w:bCs/>
                <w:color w:val="000000"/>
                <w:lang w:bidi="he-IL"/>
              </w:rPr>
              <w:t>2 Thessalonians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INTRODUCTION (1:1–12)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THESIS STATEMENT: THE DAY OF THE LORD HAS NOT OCCURRED AND TRUE BELIEVERS NEED NOT FEAR IT (2:1–2)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PROOFS SUPPORTING PAUL’S THESIS (2:3–19)</w:t>
            </w:r>
          </w:p>
          <w:p w:rsidR="008B1128" w:rsidRDefault="00652F06" w:rsidP="00652F06">
            <w:pPr>
              <w:widowControl w:val="0"/>
              <w:numPr>
                <w:ilvl w:val="0"/>
                <w:numId w:val="36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First Proof: Day of the Lord Has Not Occurred (2:3–12)</w:t>
            </w:r>
          </w:p>
          <w:p w:rsidR="00652F06" w:rsidRDefault="00652F06" w:rsidP="00652F06">
            <w:pPr>
              <w:widowControl w:val="0"/>
              <w:numPr>
                <w:ilvl w:val="0"/>
                <w:numId w:val="36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Second Proof: Christians Can Have Hope and Confidence as They Anticipate the End Time (2:13–17)</w:t>
            </w:r>
          </w:p>
          <w:p w:rsidR="008B1128" w:rsidRDefault="008B1128" w:rsidP="00652F06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(3:1–15)</w:t>
            </w:r>
          </w:p>
          <w:p w:rsidR="00652F06" w:rsidRDefault="00652F06" w:rsidP="00652F06">
            <w:pPr>
              <w:widowControl w:val="0"/>
              <w:numPr>
                <w:ilvl w:val="0"/>
                <w:numId w:val="37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 to Pray (3:1–5)</w:t>
            </w:r>
          </w:p>
          <w:p w:rsidR="00652F06" w:rsidRDefault="00652F06" w:rsidP="00652F06">
            <w:pPr>
              <w:widowControl w:val="0"/>
              <w:numPr>
                <w:ilvl w:val="0"/>
                <w:numId w:val="37"/>
              </w:numPr>
              <w:spacing w:before="240"/>
              <w:ind w:left="900"/>
              <w:contextualSpacing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Exhortations Related to the Idle (3:6–15)</w:t>
            </w:r>
          </w:p>
          <w:p w:rsidR="008B1128" w:rsidRPr="008B1128" w:rsidRDefault="008B1128" w:rsidP="00290EAC">
            <w:pPr>
              <w:widowControl w:val="0"/>
              <w:numPr>
                <w:ilvl w:val="0"/>
                <w:numId w:val="35"/>
              </w:numPr>
              <w:spacing w:before="120"/>
              <w:ind w:left="540" w:hanging="180"/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CONCLUSION (3:16</w:t>
            </w:r>
            <w:r w:rsidR="00290EAC"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–</w:t>
            </w:r>
            <w:r>
              <w:rPr>
                <w:rFonts w:ascii="Gentium Book Basic" w:eastAsia="Times New Roman" w:hAnsi="Gentium Book Basic" w:cs="Times New Roman"/>
                <w:color w:val="000000"/>
                <w:lang w:bidi="he-IL"/>
              </w:rPr>
              <w:t>18)</w:t>
            </w:r>
          </w:p>
        </w:tc>
        <w:tc>
          <w:tcPr>
            <w:tcW w:w="3348" w:type="dxa"/>
          </w:tcPr>
          <w:p w:rsidR="00D420BF" w:rsidRPr="00D420BF" w:rsidRDefault="00D420BF" w:rsidP="007C230E">
            <w:pPr>
              <w:widowControl w:val="0"/>
              <w:tabs>
                <w:tab w:val="left" w:pos="792"/>
              </w:tabs>
              <w:spacing w:before="120"/>
              <w:ind w:left="792" w:hanging="792"/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</w:pPr>
            <w:r w:rsidRPr="00D420BF">
              <w:rPr>
                <w:rFonts w:ascii="Gentium Book Basic" w:eastAsia="Times New Roman" w:hAnsi="Gentium Book Basic" w:cs="Times New Roman"/>
                <w:b/>
                <w:bCs/>
                <w:color w:val="000000"/>
                <w:szCs w:val="24"/>
                <w:lang w:bidi="he-IL"/>
              </w:rPr>
              <w:t>Schedule for Bible Study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spacing w:before="120"/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May 24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Overview of Thessalonians</w:t>
            </w:r>
          </w:p>
          <w:p w:rsidR="00F86303" w:rsidRDefault="00F86303" w:rsidP="003543EE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May 31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1:1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10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F86303" w:rsidP="003543EE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7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2:1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14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2:17–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3:13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21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4:1–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12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Jun 28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Thess. 4:13–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5:11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5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 xml:space="preserve">1 Thess. 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5:12–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28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12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Thess.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12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19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Thess. 2:1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17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Jul 26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Thess.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18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2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Overview of Pastoral Epistles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9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11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16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1:12–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20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23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2:1–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15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Aug 30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6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4:1–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13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5:1–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20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5:17</w:t>
            </w:r>
            <w:r w:rsidR="003543EE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–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25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Sep 27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1 Tim. 6:1–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21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4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18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11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2:1–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13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18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2:14–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26</w:t>
            </w:r>
          </w:p>
          <w:p w:rsid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Oct 25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17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1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2 Tim. 4:1–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22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8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Titus 1:1–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16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15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Titus 2:1–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15</w:t>
            </w:r>
          </w:p>
          <w:p w:rsidR="00F86303" w:rsidRPr="00F86303" w:rsidRDefault="003543EE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22</w:t>
            </w:r>
            <w:r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Titus 3:1–</w:t>
            </w:r>
            <w:r w:rsidR="00F86303"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15</w:t>
            </w:r>
          </w:p>
          <w:p w:rsidR="00F86303" w:rsidRPr="00F86303" w:rsidRDefault="00F86303" w:rsidP="00F86303">
            <w:pPr>
              <w:widowControl w:val="0"/>
              <w:tabs>
                <w:tab w:val="left" w:pos="792"/>
                <w:tab w:val="left" w:pos="972"/>
              </w:tabs>
              <w:ind w:left="792" w:hanging="792"/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>Nov 29</w:t>
            </w:r>
            <w:r w:rsidRPr="00F86303"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  <w:tab/>
              <w:t>Teacher’s Choice</w:t>
            </w:r>
          </w:p>
          <w:p w:rsidR="00D420BF" w:rsidRDefault="00D420BF" w:rsidP="00F86303">
            <w:pPr>
              <w:widowControl w:val="0"/>
              <w:tabs>
                <w:tab w:val="left" w:pos="792"/>
                <w:tab w:val="left" w:pos="972"/>
              </w:tabs>
              <w:rPr>
                <w:rFonts w:ascii="Gentium Book Basic" w:eastAsia="Times New Roman" w:hAnsi="Gentium Book Basic" w:cs="Times New Roman"/>
                <w:color w:val="000000"/>
                <w:szCs w:val="24"/>
                <w:lang w:bidi="he-IL"/>
              </w:rPr>
            </w:pPr>
          </w:p>
        </w:tc>
      </w:tr>
    </w:tbl>
    <w:p w:rsidR="00DC40FB" w:rsidRPr="00D420BF" w:rsidRDefault="00DC40FB" w:rsidP="00D420BF"/>
    <w:sectPr w:rsidR="00DC40FB" w:rsidRPr="00D420BF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6C1" w:rsidRDefault="008536C1" w:rsidP="004B4AA9">
      <w:r>
        <w:separator/>
      </w:r>
    </w:p>
  </w:endnote>
  <w:endnote w:type="continuationSeparator" w:id="0">
    <w:p w:rsidR="008536C1" w:rsidRDefault="008536C1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6C1" w:rsidRPr="00DC40FB" w:rsidRDefault="008536C1" w:rsidP="00DC40FB">
      <w:pPr>
        <w:pStyle w:val="Footer"/>
      </w:pPr>
    </w:p>
  </w:footnote>
  <w:footnote w:type="continuationSeparator" w:id="0">
    <w:p w:rsidR="008536C1" w:rsidRDefault="008536C1" w:rsidP="004B4AA9">
      <w:r>
        <w:continuationSeparator/>
      </w:r>
    </w:p>
  </w:footnote>
  <w:footnote w:id="1">
    <w:p w:rsidR="00652F06" w:rsidRDefault="00652F06" w:rsidP="00652F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40FB">
        <w:rPr>
          <w:rFonts w:cs="Times New Roman"/>
          <w:szCs w:val="24"/>
        </w:rPr>
        <w:t xml:space="preserve">Andreas J.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 xml:space="preserve">: B &amp; H Academic, 2009), </w:t>
      </w:r>
      <w:r>
        <w:rPr>
          <w:rFonts w:cs="Times New Roman"/>
          <w:szCs w:val="24"/>
        </w:rPr>
        <w:t>447–448</w:t>
      </w:r>
      <w:r w:rsidRPr="00DC40FB">
        <w:rPr>
          <w:rFonts w:cs="Times New Roman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07B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4CBF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51AF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52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984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54AA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D89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D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4C6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4C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67010"/>
    <w:rsid w:val="00072B53"/>
    <w:rsid w:val="000A1DC9"/>
    <w:rsid w:val="000C1C75"/>
    <w:rsid w:val="001050C6"/>
    <w:rsid w:val="00110454"/>
    <w:rsid w:val="00170A09"/>
    <w:rsid w:val="00255344"/>
    <w:rsid w:val="00274E17"/>
    <w:rsid w:val="00277467"/>
    <w:rsid w:val="00290EAC"/>
    <w:rsid w:val="002C6B16"/>
    <w:rsid w:val="002F0E5E"/>
    <w:rsid w:val="00317600"/>
    <w:rsid w:val="0035154B"/>
    <w:rsid w:val="003543EE"/>
    <w:rsid w:val="00360573"/>
    <w:rsid w:val="003646BC"/>
    <w:rsid w:val="003A48FD"/>
    <w:rsid w:val="003A6D1B"/>
    <w:rsid w:val="003B2E2D"/>
    <w:rsid w:val="003D130E"/>
    <w:rsid w:val="00405515"/>
    <w:rsid w:val="00472C84"/>
    <w:rsid w:val="00475CF8"/>
    <w:rsid w:val="004A0D9F"/>
    <w:rsid w:val="004A3B57"/>
    <w:rsid w:val="004B4AA9"/>
    <w:rsid w:val="005016B9"/>
    <w:rsid w:val="005101B1"/>
    <w:rsid w:val="005370F2"/>
    <w:rsid w:val="005737FB"/>
    <w:rsid w:val="005C1142"/>
    <w:rsid w:val="006032BA"/>
    <w:rsid w:val="00652F06"/>
    <w:rsid w:val="0067213C"/>
    <w:rsid w:val="00680410"/>
    <w:rsid w:val="006949B6"/>
    <w:rsid w:val="006B6B30"/>
    <w:rsid w:val="006C1E74"/>
    <w:rsid w:val="007164BD"/>
    <w:rsid w:val="00725FDF"/>
    <w:rsid w:val="00734D44"/>
    <w:rsid w:val="00757B44"/>
    <w:rsid w:val="00760FC7"/>
    <w:rsid w:val="007715B8"/>
    <w:rsid w:val="0079395C"/>
    <w:rsid w:val="007C230E"/>
    <w:rsid w:val="007D748B"/>
    <w:rsid w:val="007F10D3"/>
    <w:rsid w:val="008536C1"/>
    <w:rsid w:val="00892462"/>
    <w:rsid w:val="008A0ECE"/>
    <w:rsid w:val="008B1128"/>
    <w:rsid w:val="008D262F"/>
    <w:rsid w:val="008D6ED8"/>
    <w:rsid w:val="008F1572"/>
    <w:rsid w:val="00927865"/>
    <w:rsid w:val="009368FC"/>
    <w:rsid w:val="009370F5"/>
    <w:rsid w:val="009550B4"/>
    <w:rsid w:val="00963F5B"/>
    <w:rsid w:val="009765A4"/>
    <w:rsid w:val="009868A4"/>
    <w:rsid w:val="00992FAD"/>
    <w:rsid w:val="009A1B61"/>
    <w:rsid w:val="009C7C08"/>
    <w:rsid w:val="00A231D5"/>
    <w:rsid w:val="00A320BB"/>
    <w:rsid w:val="00A7029E"/>
    <w:rsid w:val="00AA4A16"/>
    <w:rsid w:val="00AE4B3F"/>
    <w:rsid w:val="00AE6D5D"/>
    <w:rsid w:val="00AF135A"/>
    <w:rsid w:val="00AF38E1"/>
    <w:rsid w:val="00B1631C"/>
    <w:rsid w:val="00C16820"/>
    <w:rsid w:val="00CB7261"/>
    <w:rsid w:val="00CE1C6A"/>
    <w:rsid w:val="00D00593"/>
    <w:rsid w:val="00D232C1"/>
    <w:rsid w:val="00D40F20"/>
    <w:rsid w:val="00D417C9"/>
    <w:rsid w:val="00D420BF"/>
    <w:rsid w:val="00DC40FB"/>
    <w:rsid w:val="00DD2F28"/>
    <w:rsid w:val="00E03EDD"/>
    <w:rsid w:val="00E059CE"/>
    <w:rsid w:val="00E3649F"/>
    <w:rsid w:val="00E7031D"/>
    <w:rsid w:val="00E92A91"/>
    <w:rsid w:val="00F32F68"/>
    <w:rsid w:val="00F553E3"/>
    <w:rsid w:val="00F5755C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ECA28-0D84-4750-AFB8-6AC31B44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24</cp:revision>
  <cp:lastPrinted>2015-07-17T22:36:00Z</cp:lastPrinted>
  <dcterms:created xsi:type="dcterms:W3CDTF">2014-11-07T05:59:00Z</dcterms:created>
  <dcterms:modified xsi:type="dcterms:W3CDTF">2015-07-17T22:36:00Z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