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TMB Summer Book ���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architecture-tmb-summer-book"/>
    <w:p>
      <w:pPr>
        <w:pStyle w:val="Heading1"/>
      </w:pPr>
      <w:r>
        <w:t xml:space="preserve">Architecture — TMB Summer Book</w:t>
      </w:r>
    </w:p>
    <w:p>
      <w:pPr>
        <w:pStyle w:val="BlockText"/>
      </w:pPr>
      <w:r>
        <w:t xml:space="preserve">Documentation technique de référence : découpage en modules,</w:t>
      </w:r>
      <w:r>
        <w:t xml:space="preserve"> </w:t>
      </w:r>
      <w:r>
        <w:t xml:space="preserve">mécanisme d’isolation des pannes, flux de données. Pour une</w:t>
      </w:r>
      <w:r>
        <w:t xml:space="preserve"> </w:t>
      </w:r>
      <w:r>
        <w:t xml:space="preserve">présentation grand public de l’app, voir 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à la racine.</w:t>
      </w:r>
      <w:r>
        <w:t xml:space="preserve"> </w:t>
      </w:r>
      <w:r>
        <w:t xml:space="preserve">Pour la sécurité, voir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vue-densemble"/>
    <w:p>
      <w:pPr>
        <w:pStyle w:val="Heading2"/>
      </w:pPr>
      <w:r>
        <w:t xml:space="preserve">1. Vue d’ensemble</w:t>
      </w:r>
    </w:p>
    <w:p>
      <w:pPr>
        <w:pStyle w:val="FirstParagraph"/>
      </w:pPr>
      <w:r>
        <w:t xml:space="preserve">L’app est un site statique</w:t>
      </w:r>
      <w:r>
        <w:t xml:space="preserve"> </w:t>
      </w:r>
      <w:r>
        <w:rPr>
          <w:bCs/>
          <w:b/>
        </w:rPr>
        <w:t xml:space="preserve">vanilla JS</w:t>
      </w:r>
      <w:r>
        <w:t xml:space="preserve"> </w:t>
      </w:r>
      <w:r>
        <w:t xml:space="preserve">(aucun framework, aucun</w:t>
      </w:r>
      <w:r>
        <w:t xml:space="preserve"> </w:t>
      </w:r>
      <w:r>
        <w:t xml:space="preserve">bundler, aucun build) déployé tel quel. Toutes les données passent par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(Auth + Postgres + Row Level Security) via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chargé depuis un CDN.</w:t>
      </w:r>
    </w:p>
    <w:p>
      <w:pPr>
        <w:pStyle w:val="BodyText"/>
      </w:pPr>
      <w:r>
        <w:t xml:space="preserve">Depuis le 08/07/2026, le code JS n’est plus un seul fichier</w:t>
      </w:r>
      <w:r>
        <w:t xml:space="preserve"> </w:t>
      </w:r>
      <w:r>
        <w:rPr>
          <w:rStyle w:val="VerbatimChar"/>
        </w:rPr>
        <w:t xml:space="preserve">assets/app.js</w:t>
      </w:r>
      <w:r>
        <w:t xml:space="preserve"> </w:t>
      </w:r>
      <w:r>
        <w:t xml:space="preserve">mais</w:t>
      </w:r>
      <w:r>
        <w:t xml:space="preserve"> </w:t>
      </w:r>
      <w:r>
        <w:rPr>
          <w:bCs/>
          <w:b/>
        </w:rPr>
        <w:t xml:space="preserve">14 modules indépendants</w:t>
      </w:r>
      <w:r>
        <w:t xml:space="preserve"> </w:t>
      </w:r>
      <w:r>
        <w:t xml:space="preserve">sous</w:t>
      </w:r>
      <w:r>
        <w:t xml:space="preserve"> </w:t>
      </w:r>
      <w:r>
        <w:rPr>
          <w:rStyle w:val="VerbatimChar"/>
        </w:rPr>
        <w:t xml:space="preserve">assets/js/</w:t>
      </w:r>
      <w:r>
        <w:t xml:space="preserve">,</w:t>
      </w:r>
      <w:r>
        <w:t xml:space="preserve"> </w:t>
      </w:r>
      <w:r>
        <w:t xml:space="preserve">chargés comme autant de balises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classiques (pas de modules</w:t>
      </w:r>
      <w:r>
        <w:t xml:space="preserve"> </w:t>
      </w:r>
      <w:r>
        <w:t xml:space="preserve">ES — voir §4 pour la justification). L’ancien fichier unique est</w:t>
      </w:r>
      <w:r>
        <w:t xml:space="preserve"> </w:t>
      </w:r>
      <w:r>
        <w:t xml:space="preserve">archivé dans</w:t>
      </w:r>
      <w:r>
        <w:t xml:space="preserve"> </w:t>
      </w:r>
      <w:r>
        <w:rPr>
          <w:rStyle w:val="VerbatimChar"/>
        </w:rPr>
        <w:t xml:space="preserve">legacy/app.monolithic.js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Pourquoi ce découpage ?</w:t>
      </w:r>
      <w:r>
        <w:t xml:space="preserve"> </w:t>
      </w:r>
      <w:r>
        <w:t xml:space="preserve">Pour que le code soit plus facile à</w:t>
      </w:r>
      <w:r>
        <w:t xml:space="preserve"> </w:t>
      </w:r>
      <w:r>
        <w:t xml:space="preserve">comprendre module par module, et surtout pour qu’</w:t>
      </w:r>
      <w:r>
        <w:rPr>
          <w:bCs/>
          <w:b/>
        </w:rPr>
        <w:t xml:space="preserve">un bug dans un</w:t>
      </w:r>
      <w:r>
        <w:rPr>
          <w:bCs/>
          <w:b/>
        </w:rPr>
        <w:t xml:space="preserve"> </w:t>
      </w:r>
      <w:r>
        <w:rPr>
          <w:bCs/>
          <w:b/>
        </w:rPr>
        <w:t xml:space="preserve">module n’empêche pas les autres de fonctionner</w:t>
      </w:r>
      <w:r>
        <w:t xml:space="preserve"> </w:t>
      </w:r>
      <w:r>
        <w:t xml:space="preserve">— par exemple, une</w:t>
      </w:r>
      <w:r>
        <w:t xml:space="preserve"> </w:t>
      </w:r>
      <w:r>
        <w:t xml:space="preserve">erreur dans l’écran Coach ne doit pas empêcher un Admin d’utiliser son</w:t>
      </w:r>
      <w:r>
        <w:t xml:space="preserve"> </w:t>
      </w:r>
      <w:r>
        <w:t xml:space="preserve">propre écran, ni casser le bouton de déconnexion.</w:t>
      </w:r>
    </w:p>
    <w:p>
      <w:r>
        <w:pict>
          <v:rect style="width:0;height:1.5pt" o:hralign="center" o:hrstd="t" o:hr="t"/>
        </w:pict>
      </w:r>
    </w:p>
    <w:bookmarkEnd w:id="20"/>
    <w:bookmarkStart w:id="21" w:name="arbre-des-fichiers-annoté"/>
    <w:p>
      <w:pPr>
        <w:pStyle w:val="Heading2"/>
      </w:pPr>
      <w:r>
        <w:t xml:space="preserve">2. Arbre des fichiers (annoté)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js/</w:t>
      </w:r>
      <w:r>
        <w:br/>
      </w:r>
      <w:r>
        <w:rPr>
          <w:rStyle w:val="VerbatimChar"/>
        </w:rPr>
        <w:t xml:space="preserve">    00-namespace.js                  Squelette window.TMB — doit rester trivial</w:t>
      </w:r>
      <w:r>
        <w:br/>
      </w:r>
      <w:r>
        <w:rPr>
          <w:rStyle w:val="VerbatimChar"/>
        </w:rPr>
        <w:t xml:space="preserve">    01-core-dom.js                   Aides DOM génériques, libellés partagés</w:t>
      </w:r>
      <w:r>
        <w:br/>
      </w:r>
      <w:r>
        <w:rPr>
          <w:rStyle w:val="VerbatimChar"/>
        </w:rPr>
        <w:t xml:space="preserve">    02-error-boundary.js             Isolation de panne : safeRender() + filet global</w:t>
      </w:r>
      <w:r>
        <w:br/>
      </w:r>
      <w:r>
        <w:rPr>
          <w:rStyle w:val="VerbatimChar"/>
        </w:rPr>
        <w:t xml:space="preserve">    03-supabase-client.js            Client Supabase unique, garde-fou de config</w:t>
      </w:r>
      <w:r>
        <w:br/>
      </w:r>
      <w:r>
        <w:rPr>
          <w:rStyle w:val="VerbatimChar"/>
        </w:rPr>
        <w:t xml:space="preserve">    10-auth.js                       Inscription / connexion / déconnexion</w:t>
      </w:r>
      <w:r>
        <w:br/>
      </w:r>
      <w:r>
        <w:rPr>
          <w:rStyle w:val="VerbatimChar"/>
        </w:rPr>
        <w:t xml:space="preserve">    11-data-api.js                   CRUD programme (catégories/profils/plans/jours/exercices/validations)</w:t>
      </w:r>
      <w:r>
        <w:br/>
      </w:r>
      <w:r>
        <w:rPr>
          <w:rStyle w:val="VerbatimChar"/>
        </w:rPr>
        <w:t xml:space="preserve">    12-seed.js                       Import des données par défaut (default_program.json)</w:t>
      </w:r>
      <w:r>
        <w:br/>
      </w:r>
      <w:r>
        <w:rPr>
          <w:rStyle w:val="VerbatimChar"/>
        </w:rPr>
        <w:t xml:space="preserve">    20-nav.js                        Navigation entre vues + topbar (doit rester minimal)</w:t>
      </w:r>
      <w:r>
        <w:br/>
      </w:r>
      <w:r>
        <w:rPr>
          <w:rStyle w:val="VerbatimChar"/>
        </w:rPr>
        <w:t xml:space="preserve">    30-view-auth.js                  Écran de connexion / inscription</w:t>
      </w:r>
      <w:r>
        <w:br/>
      </w:r>
      <w:r>
        <w:rPr>
          <w:rStyle w:val="VerbatimChar"/>
        </w:rPr>
        <w:t xml:space="preserve">    40-component-program-editor.js   Éditeur de programme partagé (Admin + Coach)</w:t>
      </w:r>
      <w:r>
        <w:br/>
      </w:r>
      <w:r>
        <w:rPr>
          <w:rStyle w:val="VerbatimChar"/>
        </w:rPr>
        <w:t xml:space="preserve">    50-view-admin.js                 Espace Admin (utilisateurs + programmes)</w:t>
      </w:r>
      <w:r>
        <w:br/>
      </w:r>
      <w:r>
        <w:rPr>
          <w:rStyle w:val="VerbatimChar"/>
        </w:rPr>
        <w:t xml:space="preserve">    60-view-coach.js                 Espace Coach</w:t>
      </w:r>
      <w:r>
        <w:br/>
      </w:r>
      <w:r>
        <w:rPr>
          <w:rStyle w:val="VerbatimChar"/>
        </w:rPr>
        <w:t xml:space="preserve">    70-view-player.js                Espace Joueur (semaine, jour, validation)</w:t>
      </w:r>
      <w:r>
        <w:br/>
      </w:r>
      <w:r>
        <w:rPr>
          <w:rStyle w:val="VerbatimChar"/>
        </w:rPr>
        <w:t xml:space="preserve">    90-bootstrap.js                  Démarrage, session, dispatch par rôle</w:t>
      </w:r>
      <w:r>
        <w:br/>
      </w:r>
      <w:r>
        <w:rPr>
          <w:rStyle w:val="VerbatimChar"/>
        </w:rPr>
        <w:t xml:space="preserve">    README.md                        Résumé condensé de cette page, au plus près du code</w:t>
      </w:r>
      <w:r>
        <w:br/>
      </w:r>
      <w:r>
        <w:rPr>
          <w:rStyle w:val="VerbatimChar"/>
        </w:rPr>
        <w:t xml:space="preserve">  style.css                          Design system "Sportif &amp; Aéré" — une seule feuille,</w:t>
      </w:r>
      <w:r>
        <w:br/>
      </w:r>
      <w:r>
        <w:rPr>
          <w:rStyle w:val="VerbatimChar"/>
        </w:rPr>
        <w:t xml:space="preserve">                                      tokens (couleurs/espacements/rayons/ombres) en haut</w:t>
      </w:r>
      <w:r>
        <w:br/>
      </w:r>
      <w:r>
        <w:rPr>
          <w:rStyle w:val="VerbatimChar"/>
        </w:rPr>
        <w:t xml:space="preserve">  supabase-config.js                 URL + clé anon Supabase</w:t>
      </w:r>
      <w:r>
        <w:br/>
      </w:r>
      <w:r>
        <w:rPr>
          <w:rStyle w:val="VerbatimChar"/>
        </w:rPr>
        <w:t xml:space="preserve">  default_program.json               Données d'amorçage (5 semaines × 4 catégories × jours)</w:t>
      </w:r>
      <w:r>
        <w:br/>
      </w:r>
      <w:r>
        <w:rPr>
          <w:rStyle w:val="VerbatimChar"/>
        </w:rPr>
        <w:t xml:space="preserve">  logo.svg</w:t>
      </w:r>
      <w:r>
        <w:br/>
      </w:r>
      <w:r>
        <w:rPr>
          <w:rStyle w:val="VerbatimChar"/>
        </w:rPr>
        <w:t xml:space="preserve">design/</w:t>
      </w:r>
      <w:r>
        <w:br/>
      </w:r>
      <w:r>
        <w:rPr>
          <w:rStyle w:val="VerbatimChar"/>
        </w:rPr>
        <w:t xml:space="preserve">  index.html                        Catalogue de tous les composants visuels, sans</w:t>
      </w:r>
      <w:r>
        <w:br/>
      </w:r>
      <w:r>
        <w:rPr>
          <w:rStyle w:val="VerbatimChar"/>
        </w:rPr>
        <w:t xml:space="preserve">                                      connexion/Supabase requis — voir §7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ARCHITECTURE.md (ce fichier) + .docx</w:t>
      </w:r>
      <w:r>
        <w:br/>
      </w:r>
      <w:r>
        <w:rPr>
          <w:rStyle w:val="VerbatimChar"/>
        </w:rPr>
        <w:t xml:space="preserve">  SECURITY.md + .docx</w:t>
      </w:r>
      <w:r>
        <w:br/>
      </w:r>
      <w:r>
        <w:rPr>
          <w:rStyle w:val="VerbatimChar"/>
        </w:rPr>
        <w:t xml:space="preserve">security/</w:t>
      </w:r>
      <w:r>
        <w:br/>
      </w:r>
      <w:r>
        <w:rPr>
          <w:rStyle w:val="VerbatimChar"/>
        </w:rPr>
        <w:t xml:space="preserve">  Scripts de test des policies RLS — voir docs/SECURITY.md §6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e2e/                                Tests Playwright de non-régression</w:t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  schema.sql                        Schéma complet (tables + RLS + triggers)</w:t>
      </w:r>
      <w:r>
        <w:br/>
      </w:r>
      <w:r>
        <w:rPr>
          <w:rStyle w:val="VerbatimChar"/>
        </w:rPr>
        <w:t xml:space="preserve">legacy/</w:t>
      </w:r>
      <w:r>
        <w:br/>
      </w:r>
      <w:r>
        <w:rPr>
          <w:rStyle w:val="VerbatimChar"/>
        </w:rPr>
        <w:t xml:space="preserve">  app.monolithic.js                  Ancienne version pré-découpage (archivée, non chargée)</w:t>
      </w:r>
      <w:r>
        <w:br/>
      </w:r>
      <w:r>
        <w:rPr>
          <w:rStyle w:val="VerbatimChar"/>
        </w:rPr>
        <w:t xml:space="preserve">  data.js, cloud.js                  Version v1 (localStorage, sans compte)</w:t>
      </w:r>
      <w:r>
        <w:br/>
      </w:r>
      <w:r>
        <w:rPr>
          <w:rStyle w:val="VerbatimChar"/>
        </w:rPr>
        <w:t xml:space="preserve">index.html                          Coquille HTML + liste ordonnée des 14 scripts</w:t>
      </w:r>
      <w:r>
        <w:br/>
      </w:r>
      <w:r>
        <w:rPr>
          <w:rStyle w:val="VerbatimChar"/>
        </w:rPr>
        <w:t xml:space="preserve">README.md                           Présentation générale, grand public</w:t>
      </w:r>
    </w:p>
    <w:p>
      <w:r>
        <w:pict>
          <v:rect style="width:0;height:1.5pt" o:hralign="center" o:hrstd="t" o:hr="t"/>
        </w:pict>
      </w:r>
    </w:p>
    <w:bookmarkEnd w:id="21"/>
    <w:bookmarkStart w:id="22" w:name="window.tmb-lespace-de-noms-partagé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window.TMB</w:t>
      </w:r>
      <w:r>
        <w:t xml:space="preserve"> </w:t>
      </w:r>
      <w:r>
        <w:t xml:space="preserve">— l’espace de noms partagé</w:t>
      </w:r>
    </w:p>
    <w:p>
      <w:pPr>
        <w:pStyle w:val="FirstParagraph"/>
      </w:pPr>
      <w:r>
        <w:t xml:space="preserve">Sans bundler, les modules doivent pouvoir s’appeler entre eux sans</w:t>
      </w:r>
      <w:r>
        <w:t xml:space="preserve"> </w:t>
      </w:r>
      <w:r>
        <w:t xml:space="preserve">polluer l’espace global. Chaque fichier est une IIFE</w:t>
      </w:r>
      <w:r>
        <w:t xml:space="preserve"> </w:t>
      </w:r>
      <w:r>
        <w:t xml:space="preserve">(</w:t>
      </w:r>
      <w:r>
        <w:rPr>
          <w:rStyle w:val="VerbatimChar"/>
        </w:rPr>
        <w:t xml:space="preserve">(function(){"use strict"; ...})()</w:t>
      </w:r>
      <w:r>
        <w:t xml:space="preserve">) qui n’attache que ses exports</w:t>
      </w:r>
      <w:r>
        <w:t xml:space="preserve"> </w:t>
      </w:r>
      <w:r>
        <w:t xml:space="preserve">volontaires à</w:t>
      </w:r>
      <w:r>
        <w:t xml:space="preserve"> </w:t>
      </w:r>
      <w:r>
        <w:rPr>
          <w:rStyle w:val="VerbatimChar"/>
        </w:rPr>
        <w:t xml:space="preserve">window.TMB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$, $$, el, escapeHtml, toast, ageFromBirthDate,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fullName, ROLE_LABELS, DAY_LABELS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safeRender, showErrorCard, logError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</w:t>
      </w:r>
      <w:r>
        <w:rPr>
          <w:rStyle w:val="CommentTok"/>
        </w:rPr>
        <w:t xml:space="preserve">// état partagé — toujours lu "en direct", jamais copié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signUp, signIn, signOut, adminCreateAccount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tout le CRUD + seedDatabase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showView, renderTopbar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programEditor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mount() partagé admin/coach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bootstrap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                         </w:t>
      </w:r>
      <w:r>
        <w:rPr>
          <w:rStyle w:val="CommentTok"/>
        </w:rPr>
        <w:t xml:space="preserve">// handleSessionChange, init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Règle</w:t>
      </w:r>
      <w:r>
        <w:t xml:space="preserve"> </w:t>
      </w:r>
      <w:r>
        <w:t xml:space="preserve">: chaque fichier n’écrit que dans sa propre</w:t>
      </w:r>
      <w:r>
        <w:t xml:space="preserve"> </w:t>
      </w:r>
      <w:r>
        <w:t xml:space="preserve">“</w:t>
      </w:r>
      <w:r>
        <w:t xml:space="preserve">case</w:t>
      </w:r>
      <w:r>
        <w:t xml:space="preserve">”</w:t>
      </w:r>
      <w:r>
        <w:t xml:space="preserve"> </w:t>
      </w:r>
      <w:r>
        <w:t xml:space="preserve">du</w:t>
      </w:r>
      <w:r>
        <w:t xml:space="preserve"> </w:t>
      </w:r>
      <w:r>
        <w:t xml:space="preserve">namespace (documenté dans le tableau de</w:t>
      </w:r>
      <w:r>
        <w:t xml:space="preserve"> </w:t>
      </w:r>
      <w:r>
        <w:rPr>
          <w:rStyle w:val="VerbatimChar"/>
        </w:rPr>
        <w:t xml:space="preserve">assets/js/README.md</w:t>
      </w:r>
      <w:r>
        <w:t xml:space="preserve">). Deux</w:t>
      </w:r>
      <w:r>
        <w:t xml:space="preserve"> </w:t>
      </w:r>
      <w:r>
        <w:t xml:space="preserve">fichiers qui écriraient dans la même case s’écraseraient silencieusement</w:t>
      </w:r>
      <w:r>
        <w:t xml:space="preserve"> </w:t>
      </w:r>
      <w:r>
        <w:t xml:space="preserve">— ce n’est pas détecté automatiquement, c’est une discipline de code.</w:t>
      </w:r>
    </w:p>
    <w:p>
      <w:pPr>
        <w:pStyle w:val="BodyText"/>
      </w:pPr>
      <w:r>
        <w:rPr>
          <w:bCs/>
          <w:b/>
        </w:rPr>
        <w:t xml:space="preserve">État partagé (</w:t>
      </w:r>
      <w:r>
        <w:rPr>
          <w:rStyle w:val="VerbatimChar"/>
          <w:bCs/>
          <w:b/>
        </w:rPr>
        <w:t xml:space="preserve">TMB.state</w:t>
      </w:r>
      <w:r>
        <w:rPr>
          <w:bCs/>
          <w:b/>
        </w:rP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sont lus</w:t>
      </w:r>
      <w:r>
        <w:t xml:space="preserve"> </w:t>
      </w:r>
      <w:r>
        <w:rPr>
          <w:bCs/>
          <w:b/>
        </w:rPr>
        <w:t xml:space="preserve">en direct</w:t>
      </w:r>
      <w:r>
        <w:t xml:space="preserve"> </w:t>
      </w:r>
      <w:r>
        <w:t xml:space="preserve">(</w:t>
      </w:r>
      <w:r>
        <w:rPr>
          <w:rStyle w:val="VerbatimChar"/>
        </w:rPr>
        <w:t xml:space="preserve">TMB.state.profile.role</w:t>
      </w:r>
      <w:r>
        <w:t xml:space="preserve">, jamais copiés dans</w:t>
      </w:r>
      <w:r>
        <w:t xml:space="preserve"> </w:t>
      </w:r>
      <w:r>
        <w:t xml:space="preserve">une variable locale qui pourrait devenir périmée après un changement de</w:t>
      </w:r>
      <w:r>
        <w:t xml:space="preserve"> </w:t>
      </w:r>
      <w:r>
        <w:t xml:space="preserve">session).</w:t>
      </w:r>
    </w:p>
    <w:p>
      <w:r>
        <w:pict>
          <v:rect style="width:0;height:1.5pt" o:hralign="center" o:hrstd="t" o:hr="t"/>
        </w:pict>
      </w:r>
    </w:p>
    <w:bookmarkEnd w:id="22"/>
    <w:bookmarkStart w:id="23" w:name="Xd649d8985db1dca2d63b2c3aee0a381d33ae029"/>
    <w:p>
      <w:pPr>
        <w:pStyle w:val="Heading2"/>
      </w:pPr>
      <w:r>
        <w:t xml:space="preserve">4. Pourquoi des scripts classiques, pas des modules ES ?</w:t>
      </w:r>
    </w:p>
    <w:p>
      <w:pPr>
        <w:pStyle w:val="FirstParagraph"/>
      </w:pPr>
      <w:r>
        <w:t xml:space="preserve">Un script classique (</w:t>
      </w:r>
      <w:r>
        <w:rPr>
          <w:rStyle w:val="VerbatimChar"/>
        </w:rPr>
        <w:t xml:space="preserve">&lt;script src="..."&gt;</w:t>
      </w:r>
      <w:r>
        <w:t xml:space="preserve">) qui échoue au chargement ou</w:t>
      </w:r>
      <w:r>
        <w:t xml:space="preserve"> </w:t>
      </w:r>
      <w:r>
        <w:t xml:space="preserve">lève une erreur à l’exécution</w:t>
      </w:r>
      <w:r>
        <w:t xml:space="preserve"> </w:t>
      </w:r>
      <w:r>
        <w:rPr>
          <w:bCs/>
          <w:b/>
        </w:rPr>
        <w:t xml:space="preserve">n’empêche pas</w:t>
      </w:r>
      <w:r>
        <w:t xml:space="preserve"> </w:t>
      </w:r>
      <w:r>
        <w:t xml:space="preserve">le script suivant de se</w:t>
      </w:r>
      <w:r>
        <w:t xml:space="preserve"> </w:t>
      </w:r>
      <w:r>
        <w:t xml:space="preserve">charger et de s’exécuter — le navigateur traite chaque balise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comme un job indépendant. C’est la base du mécanisme</w:t>
      </w:r>
      <w:r>
        <w:t xml:space="preserve"> </w:t>
      </w:r>
      <w:r>
        <w:t xml:space="preserve">d’isolation décrit au §5.</w:t>
      </w:r>
    </w:p>
    <w:p>
      <w:pPr>
        <w:pStyle w:val="BodyText"/>
      </w:pPr>
      <w:r>
        <w:t xml:space="preserve">Les modules ES (</w:t>
      </w:r>
      <w:r>
        <w:rPr>
          <w:rStyle w:val="VerbatimChar"/>
        </w:rPr>
        <w:t xml:space="preserve">&lt;script type="module"&gt;</w:t>
      </w:r>
      <w:r>
        <w:t xml:space="preserve">) ont la même propriété</w:t>
      </w:r>
      <w:r>
        <w:t xml:space="preserve"> </w:t>
      </w:r>
      <w:r>
        <w:t xml:space="preserve">d’exécution indépendante, mais construisent un vrai graphe d’</w:t>
      </w:r>
      <w:r>
        <w:rPr>
          <w:rStyle w:val="VerbatimChar"/>
        </w:rPr>
        <w:t xml:space="preserve">import</w:t>
      </w:r>
      <w:r>
        <w:t xml:space="preserve">.</w:t>
      </w:r>
      <w:r>
        <w:t xml:space="preserve"> </w:t>
      </w:r>
      <w:r>
        <w:t xml:space="preserve">Comme cette app n’a pas besoin d’un graphe d’imports explicite (tout</w:t>
      </w:r>
      <w:r>
        <w:t xml:space="preserve"> </w:t>
      </w:r>
      <w:r>
        <w:t xml:space="preserve">passe par</w:t>
      </w:r>
      <w:r>
        <w:t xml:space="preserve"> </w:t>
      </w:r>
      <w:r>
        <w:rPr>
          <w:rStyle w:val="VerbatimChar"/>
        </w:rPr>
        <w:t xml:space="preserve">window.TMB</w:t>
      </w:r>
      <w:r>
        <w:t xml:space="preserve">), les modules ES n’apportent rien ici et</w:t>
      </w:r>
      <w:r>
        <w:t xml:space="preserve"> </w:t>
      </w:r>
      <w:r>
        <w:t xml:space="preserve">ajoutent une contrainte inutile (nécessite d’être servi en http(s), pas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). On reste donc sur des scripts classiques, qui prolongent</w:t>
      </w:r>
      <w:r>
        <w:t xml:space="preserve"> </w:t>
      </w:r>
      <w:r>
        <w:t xml:space="preserve">directement ce que l’app faisait déjà avant ce découpage.</w:t>
      </w:r>
    </w:p>
    <w:p>
      <w:r>
        <w:pict>
          <v:rect style="width:0;height:1.5pt" o:hralign="center" o:hrstd="t" o:hr="t"/>
        </w:pict>
      </w:r>
    </w:p>
    <w:bookmarkEnd w:id="23"/>
    <w:bookmarkStart w:id="27" w:name="X0024e1b3f5080b49cd9552491ec43da18c1dad4"/>
    <w:p>
      <w:pPr>
        <w:pStyle w:val="Heading2"/>
      </w:pPr>
      <w:r>
        <w:t xml:space="preserve">5. Isolation des pannes — ce que ça protège, et ce que ça ne protège pas</w:t>
      </w:r>
    </w:p>
    <w:bookmarkStart w:id="24" w:name="le-mécanisme"/>
    <w:p>
      <w:pPr>
        <w:pStyle w:val="Heading3"/>
      </w:pPr>
      <w:r>
        <w:t xml:space="preserve">Le mécanisme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Chargement</w:t>
      </w:r>
      <w:r>
        <w:t xml:space="preserve"> </w:t>
      </w:r>
      <w:r>
        <w:t xml:space="preserve">: 14 balises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séparées. Si un fichier a une</w:t>
      </w:r>
      <w:r>
        <w:t xml:space="preserve"> </w:t>
      </w:r>
      <w:r>
        <w:t xml:space="preserve">erreur de syntaxe ou lève une exception à son chargement, les</w:t>
      </w:r>
      <w:r>
        <w:t xml:space="preserve"> </w:t>
      </w:r>
      <w:r>
        <w:t xml:space="preserve">fichiers suivants se chargent quand même.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Rendu</w:t>
      </w:r>
      <w:r>
        <w:t xml:space="preserve"> </w:t>
      </w:r>
      <w:r>
        <w:t xml:space="preserve">: chaque vue top-level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)</w:t>
      </w:r>
      <w:r>
        <w:t xml:space="preserve"> </w:t>
      </w:r>
      <w:r>
        <w:t xml:space="preserve">est rendue via</w:t>
      </w:r>
      <w:r>
        <w:t xml:space="preserve"> </w:t>
      </w:r>
      <w:r>
        <w:rPr>
          <w:rStyle w:val="VerbatimChar"/>
        </w:rPr>
        <w:t xml:space="preserve">TMB.errors.safeRender(moduleName, () =&gt; ...,    containerSelector)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90-bootstrap.js</w:t>
      </w:r>
      <w:r>
        <w:t xml:space="preserve">. Une erreur (synchrone ou</w:t>
      </w:r>
      <w:r>
        <w:t xml:space="preserve"> </w:t>
      </w:r>
      <w:r>
        <w:t xml:space="preserve">promesse rejetée) à l’intérieur affiche une carte d’erreur</w:t>
      </w:r>
      <w:r>
        <w:t xml:space="preserve"> </w:t>
      </w:r>
      <w:r>
        <w:rPr>
          <w:bCs/>
          <w:b/>
        </w:rPr>
        <w:t xml:space="preserve">dans le</w:t>
      </w:r>
      <w:r>
        <w:rPr>
          <w:bCs/>
          <w:b/>
        </w:rPr>
        <w:t xml:space="preserve"> </w:t>
      </w:r>
      <w:r>
        <w:rPr>
          <w:bCs/>
          <w:b/>
        </w:rPr>
        <w:t xml:space="preserve">conteneur de cette vue uniquement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.error-card</w:t>
      </w:r>
      <w:r>
        <w:t xml:space="preserve">, voir</w:t>
      </w:r>
      <w:r>
        <w:t xml:space="preserve"> </w:t>
      </w:r>
      <w:r>
        <w:rPr>
          <w:rStyle w:val="VerbatimChar"/>
        </w:rPr>
        <w:t xml:space="preserve">assets/style.css</w:t>
      </w:r>
      <w:r>
        <w:t xml:space="preserve">) au lieu de planter toute la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Filet global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window.addEventListener('error' |    'unhandledrejection', ...)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02-error-boundary.js</w:t>
      </w:r>
      <w:r>
        <w:t xml:space="preserve"> </w:t>
      </w:r>
      <w:r>
        <w:t xml:space="preserve">logge tout ce</w:t>
      </w:r>
      <w:r>
        <w:t xml:space="preserve"> </w:t>
      </w:r>
      <w:r>
        <w:t xml:space="preserve">qui échapperait au point 2 (ex. un gestionnaire d’événement non</w:t>
      </w:r>
      <w:r>
        <w:t xml:space="preserve"> </w:t>
      </w:r>
      <w:r>
        <w:t xml:space="preserve">protégé), sans tenter de ré-afficher quoi que ce soit (contexte trop</w:t>
      </w:r>
      <w:r>
        <w:t xml:space="preserve"> </w:t>
      </w:r>
      <w:r>
        <w:t xml:space="preserve">incertain).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topbar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bouton de déconnexion</w:t>
      </w:r>
      <w:r>
        <w:t xml:space="preserve"> </w:t>
      </w:r>
      <w:r>
        <w:t xml:space="preserve">vivent dans</w:t>
      </w:r>
      <w:r>
        <w:t xml:space="preserve"> </w:t>
      </w:r>
      <w:r>
        <w:rPr>
          <w:rStyle w:val="VerbatimChar"/>
        </w:rPr>
        <w:t xml:space="preserve">20-nav.js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90-bootstrap.js</w:t>
      </w:r>
      <w:r>
        <w:t xml:space="preserve">, jamais à l’intérieur d’un</w:t>
      </w:r>
      <w:r>
        <w:t xml:space="preserve"> </w:t>
      </w:r>
      <w:r>
        <w:rPr>
          <w:rStyle w:val="VerbatimChar"/>
        </w:rPr>
        <w:t xml:space="preserve">safeRender</w:t>
      </w:r>
      <w:r>
        <w:t xml:space="preserve"> </w:t>
      </w:r>
      <w:r>
        <w:t xml:space="preserve">de vue : ils</w:t>
      </w:r>
      <w:r>
        <w:t xml:space="preserve"> </w:t>
      </w:r>
      <w:r>
        <w:t xml:space="preserve">restent utilisables même si l’écran affiché en dessous est cassé.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ns[00-namespace] --&gt; core[01-core-dom]</w:t>
      </w:r>
      <w:r>
        <w:br/>
      </w:r>
      <w:r>
        <w:rPr>
          <w:rStyle w:val="VerbatimChar"/>
        </w:rPr>
        <w:t xml:space="preserve">  core --&gt; err[02-error-boundary]</w:t>
      </w:r>
      <w:r>
        <w:br/>
      </w:r>
      <w:r>
        <w:rPr>
          <w:rStyle w:val="VerbatimChar"/>
        </w:rPr>
        <w:t xml:space="preserve">  core --&gt; sbc[03-supabase-client]</w:t>
      </w:r>
      <w:r>
        <w:br/>
      </w:r>
      <w:r>
        <w:rPr>
          <w:rStyle w:val="VerbatimChar"/>
        </w:rPr>
        <w:t xml:space="preserve">  sbc --&gt; auth[10-auth]</w:t>
      </w:r>
      <w:r>
        <w:br/>
      </w:r>
      <w:r>
        <w:rPr>
          <w:rStyle w:val="VerbatimChar"/>
        </w:rPr>
        <w:t xml:space="preserve">  sbc --&gt; data[11-data-api]</w:t>
      </w:r>
      <w:r>
        <w:br/>
      </w:r>
      <w:r>
        <w:rPr>
          <w:rStyle w:val="VerbatimChar"/>
        </w:rPr>
        <w:t xml:space="preserve">  data --&gt; seed[12-seed]</w:t>
      </w:r>
      <w:r>
        <w:br/>
      </w:r>
      <w:r>
        <w:rPr>
          <w:rStyle w:val="VerbatimChar"/>
        </w:rPr>
        <w:t xml:space="preserve">  core --&gt; nav[20-nav]</w:t>
      </w:r>
      <w:r>
        <w:br/>
      </w:r>
      <w:r>
        <w:rPr>
          <w:rStyle w:val="VerbatimChar"/>
        </w:rPr>
        <w:t xml:space="preserve">  auth --&gt; viewAuth[30-view-auth]</w:t>
      </w:r>
      <w:r>
        <w:br/>
      </w:r>
      <w:r>
        <w:rPr>
          <w:rStyle w:val="VerbatimChar"/>
        </w:rPr>
        <w:t xml:space="preserve">  data --&gt; compEditor[40-component-program-editor]</w:t>
      </w:r>
      <w:r>
        <w:br/>
      </w:r>
      <w:r>
        <w:rPr>
          <w:rStyle w:val="VerbatimChar"/>
        </w:rPr>
        <w:t xml:space="preserve">  compEditor --&gt; viewAdmin[50-view-admin]</w:t>
      </w:r>
      <w:r>
        <w:br/>
      </w:r>
      <w:r>
        <w:rPr>
          <w:rStyle w:val="VerbatimChar"/>
        </w:rPr>
        <w:t xml:space="preserve">  compEditor --&gt; viewCoach[60-view-coach]</w:t>
      </w:r>
      <w:r>
        <w:br/>
      </w:r>
      <w:r>
        <w:rPr>
          <w:rStyle w:val="VerbatimChar"/>
        </w:rPr>
        <w:t xml:space="preserve">  data --&gt; viewPlayer[70-view-player]</w:t>
      </w:r>
      <w:r>
        <w:br/>
      </w:r>
      <w:r>
        <w:rPr>
          <w:rStyle w:val="VerbatimChar"/>
        </w:rPr>
        <w:t xml:space="preserve">  err --&gt; boot[90-bootstrap]</w:t>
      </w:r>
      <w:r>
        <w:br/>
      </w:r>
      <w:r>
        <w:rPr>
          <w:rStyle w:val="VerbatimChar"/>
        </w:rPr>
        <w:t xml:space="preserve">  nav --&gt; boot</w:t>
      </w:r>
      <w:r>
        <w:br/>
      </w:r>
      <w:r>
        <w:rPr>
          <w:rStyle w:val="VerbatimChar"/>
        </w:rPr>
        <w:t xml:space="preserve">  viewAuth --&gt; boot</w:t>
      </w:r>
      <w:r>
        <w:br/>
      </w:r>
      <w:r>
        <w:rPr>
          <w:rStyle w:val="VerbatimChar"/>
        </w:rPr>
        <w:t xml:space="preserve">  viewAdmin --&gt; boot</w:t>
      </w:r>
      <w:r>
        <w:br/>
      </w:r>
      <w:r>
        <w:rPr>
          <w:rStyle w:val="VerbatimChar"/>
        </w:rPr>
        <w:t xml:space="preserve">  viewCoach --&gt; boot</w:t>
      </w:r>
      <w:r>
        <w:br/>
      </w:r>
      <w:r>
        <w:rPr>
          <w:rStyle w:val="VerbatimChar"/>
        </w:rPr>
        <w:t xml:space="preserve">  viewPlayer --&gt; boot</w:t>
      </w:r>
    </w:p>
    <w:bookmarkEnd w:id="24"/>
    <w:bookmarkStart w:id="25" w:name="piège-technique-évité-lappel-en-thunk"/>
    <w:p>
      <w:pPr>
        <w:pStyle w:val="Heading3"/>
      </w:pPr>
      <w:r>
        <w:t xml:space="preserve">Piège technique évité : l’appel en</w:t>
      </w:r>
      <w:r>
        <w:t xml:space="preserve"> </w:t>
      </w:r>
      <w:r>
        <w:t xml:space="preserve">“</w:t>
      </w:r>
      <w:r>
        <w:t xml:space="preserve">thunk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safeRender</w:t>
      </w:r>
      <w:r>
        <w:t xml:space="preserve"> </w:t>
      </w:r>
      <w:r>
        <w:t xml:space="preserve">est toujours appelé avec une fonction anonyme :</w:t>
      </w:r>
    </w:p>
    <w:p>
      <w:pPr>
        <w:pStyle w:val="SourceCode"/>
      </w:pPr>
      <w:r>
        <w:rPr>
          <w:rStyle w:val="FunctionTok"/>
        </w:rPr>
        <w:t xml:space="preserve">safeRender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"coach"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TMB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coach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"#view-coach"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et jamais avec la référence directe (</w:t>
      </w:r>
      <w:r>
        <w:rPr>
          <w:rStyle w:val="VerbatimChar"/>
        </w:rPr>
        <w:t xml:space="preserve">TMB.views.coach.render</w:t>
      </w:r>
      <w:r>
        <w:t xml:space="preserve">). Avec la</w:t>
      </w:r>
      <w:r>
        <w:t xml:space="preserve"> </w:t>
      </w:r>
      <w:r>
        <w:t xml:space="preserve">forme directe, si</w:t>
      </w:r>
      <w:r>
        <w:t xml:space="preserve"> </w:t>
      </w:r>
      <w:r>
        <w:rPr>
          <w:rStyle w:val="VerbatimChar"/>
        </w:rPr>
        <w:t xml:space="preserve">TMB.views.coach</w:t>
      </w:r>
      <w:r>
        <w:t xml:space="preserve"> </w:t>
      </w:r>
      <w:r>
        <w:t xml:space="preserve">n’existait pas encore (namespace pas</w:t>
      </w:r>
      <w:r>
        <w:t xml:space="preserve"> </w:t>
      </w:r>
      <w:r>
        <w:t xml:space="preserve">prêt), l’erreur se produirait</w:t>
      </w:r>
      <w:r>
        <w:t xml:space="preserve"> </w:t>
      </w:r>
      <w:r>
        <w:rPr>
          <w:bCs/>
          <w:b/>
        </w:rPr>
        <w:t xml:space="preserve">en évaluant l’argument</w:t>
      </w:r>
      <w:r>
        <w:t xml:space="preserve">, donc</w:t>
      </w:r>
      <w:r>
        <w:t xml:space="preserve"> </w:t>
      </w:r>
      <w:r>
        <w:rPr>
          <w:iCs/>
          <w:i/>
        </w:rPr>
        <w:t xml:space="preserve">avant</w:t>
      </w:r>
      <w:r>
        <w:t xml:space="preserve"> </w:t>
      </w:r>
      <w:r>
        <w:t xml:space="preserve">d’entrer dans le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safeRender</w:t>
      </w:r>
      <w:r>
        <w:t xml:space="preserve"> </w:t>
      </w:r>
      <w:r>
        <w:t xml:space="preserve">— elle ne serait alors pas</w:t>
      </w:r>
      <w:r>
        <w:t xml:space="preserve"> </w:t>
      </w:r>
      <w:r>
        <w:t xml:space="preserve">capturée. Avec la forme</w:t>
      </w:r>
      <w:r>
        <w:t xml:space="preserve"> </w:t>
      </w:r>
      <w:r>
        <w:rPr>
          <w:rStyle w:val="VerbatimChar"/>
        </w:rPr>
        <w:t xml:space="preserve">() =&gt; ...</w:t>
      </w:r>
      <w:r>
        <w:t xml:space="preserve">, cette même erreur se produit</w:t>
      </w:r>
      <w:r>
        <w:t xml:space="preserve"> </w:t>
      </w:r>
      <w:r>
        <w:rPr>
          <w:iCs/>
          <w:i/>
        </w:rPr>
        <w:t xml:space="preserve">à</w:t>
      </w:r>
      <w:r>
        <w:rPr>
          <w:iCs/>
          <w:i/>
        </w:rPr>
        <w:t xml:space="preserve"> </w:t>
      </w:r>
      <w:r>
        <w:rPr>
          <w:iCs/>
          <w:i/>
        </w:rPr>
        <w:t xml:space="preserve">l’intérieur</w:t>
      </w:r>
      <w:r>
        <w:t xml:space="preserve"> </w:t>
      </w:r>
      <w:r>
        <w:t xml:space="preserve">de l’appel à</w:t>
      </w:r>
      <w:r>
        <w:t xml:space="preserve"> </w:t>
      </w:r>
      <w:r>
        <w:rPr>
          <w:rStyle w:val="VerbatimChar"/>
        </w:rPr>
        <w:t xml:space="preserve">renderFn()</w:t>
      </w:r>
      <w:r>
        <w:t xml:space="preserve">, donc bien dans le</w:t>
      </w:r>
      <w:r>
        <w:t xml:space="preserve"> </w:t>
      </w:r>
      <w:r>
        <w:rPr>
          <w:rStyle w:val="VerbatimChar"/>
        </w:rPr>
        <w:t xml:space="preserve">try</w:t>
      </w:r>
      <w:r>
        <w:t xml:space="preserve">.</w:t>
      </w:r>
    </w:p>
    <w:bookmarkEnd w:id="25"/>
    <w:bookmarkStart w:id="26" w:name="ce-que-ça-ne-protège-pas"/>
    <w:p>
      <w:pPr>
        <w:pStyle w:val="Heading3"/>
      </w:pPr>
      <w:r>
        <w:t xml:space="preserve">Ce que ça NE protège PAS</w:t>
      </w:r>
    </w:p>
    <w:p>
      <w:pPr>
        <w:pStyle w:val="FirstParagraph"/>
      </w:pPr>
      <w:r>
        <w:t xml:space="preserve">Tous les modules partagent le même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/ la même exécution JS —</w:t>
      </w:r>
      <w:r>
        <w:t xml:space="preserve"> </w:t>
      </w:r>
      <w:r>
        <w:t xml:space="preserve">ce n’est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une sandbox comme une iframe ou un Web Worker :</w:t>
      </w:r>
    </w:p>
    <w:p>
      <w:pPr>
        <w:numPr>
          <w:ilvl w:val="0"/>
          <w:numId w:val="1002"/>
        </w:numPr>
        <w:pStyle w:val="Compact"/>
      </w:pPr>
      <w:r>
        <w:t xml:space="preserve">Un module peut corrompre</w:t>
      </w:r>
      <w:r>
        <w:t xml:space="preserve"> </w:t>
      </w:r>
      <w:r>
        <w:rPr>
          <w:rStyle w:val="VerbatimChar"/>
        </w:rPr>
        <w:t xml:space="preserve">TMB.state</w:t>
      </w:r>
      <w:r>
        <w:t xml:space="preserve"> </w:t>
      </w:r>
      <w:r>
        <w:t xml:space="preserve">ou écraser silencieusement une</w:t>
      </w:r>
      <w:r>
        <w:t xml:space="preserve"> </w:t>
      </w:r>
      <w:r>
        <w:t xml:space="preserve">clé du namespace utilisée par un autre module (collision de nom) —</w:t>
      </w:r>
      <w:r>
        <w:t xml:space="preserve"> </w:t>
      </w:r>
      <w:r>
        <w:t xml:space="preserve">rien ne le détecte automatiquement.</w:t>
      </w:r>
    </w:p>
    <w:p>
      <w:pPr>
        <w:numPr>
          <w:ilvl w:val="0"/>
          <w:numId w:val="1002"/>
        </w:numPr>
        <w:pStyle w:val="Compact"/>
      </w:pPr>
      <w:r>
        <w:t xml:space="preserve">Une boucle infinie synchrone dans un module gèle l’interface pour</w:t>
      </w:r>
      <w:r>
        <w:t xml:space="preserve"> </w:t>
      </w:r>
      <w:r>
        <w:t xml:space="preserve">tout le monde ;</w:t>
      </w:r>
      <w:r>
        <w:t xml:space="preserve"> </w:t>
      </w:r>
      <w:r>
        <w:rPr>
          <w:rStyle w:val="VerbatimChar"/>
        </w:rPr>
        <w:t xml:space="preserve">safeRender</w:t>
      </w:r>
      <w:r>
        <w:t xml:space="preserve"> </w:t>
      </w:r>
      <w:r>
        <w:t xml:space="preserve">ne peut rien contre ça (le code n’a</w:t>
      </w:r>
      <w:r>
        <w:t xml:space="preserve"> </w:t>
      </w:r>
      <w:r>
        <w:t xml:space="preserve">jamais l’occasion de lever une exception ni de rendre la main).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03-supabase-client.js</w:t>
      </w:r>
      <w:r>
        <w:t xml:space="preserve"> </w:t>
      </w:r>
      <w:r>
        <w:t xml:space="preserve">qui échoue (configuration manquante) est</w:t>
      </w:r>
      <w:r>
        <w:t xml:space="preserve"> </w:t>
      </w:r>
      <w:r>
        <w:t xml:space="preserve">traité comme un</w:t>
      </w:r>
      <w:r>
        <w:t xml:space="preserve"> </w:t>
      </w:r>
      <w:r>
        <w:rPr>
          <w:bCs/>
          <w:b/>
        </w:rPr>
        <w:t xml:space="preserve">pré-requis bloquant</w:t>
      </w:r>
      <w:r>
        <w:t xml:space="preserve">, pas comme</w:t>
      </w:r>
      <w:r>
        <w:t xml:space="preserve"> </w:t>
      </w:r>
      <w:r>
        <w:t xml:space="preserve">“</w:t>
      </w:r>
      <w:r>
        <w:t xml:space="preserve">une panne de</w:t>
      </w:r>
      <w:r>
        <w:t xml:space="preserve"> </w:t>
      </w:r>
      <w:r>
        <w:t xml:space="preserve">module</w:t>
      </w:r>
      <w:r>
        <w:t xml:space="preserve">”</w:t>
      </w:r>
      <w:r>
        <w:t xml:space="preserve"> </w:t>
      </w:r>
      <w:r>
        <w:t xml:space="preserve">— toute l’app s’arrête avec un message clair</w:t>
      </w:r>
      <w:r>
        <w:t xml:space="preserve"> </w:t>
      </w:r>
      <w:r>
        <w:t xml:space="preserve">(</w:t>
      </w:r>
      <w:r>
        <w:rPr>
          <w:rStyle w:val="VerbatimChar"/>
        </w:rPr>
        <w:t xml:space="preserve">.boot-error</w:t>
      </w:r>
      <w:r>
        <w:t xml:space="preserve">), volontairement, plutôt que de laisser d’autres</w:t>
      </w:r>
      <w:r>
        <w:t xml:space="preserve"> </w:t>
      </w:r>
      <w:r>
        <w:t xml:space="preserve">modules essayer de fonctionner sans client Supabase.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3ff3ae7c08421f88f9848bbbc05f6771a7a2b6"/>
    <w:p>
      <w:pPr>
        <w:pStyle w:val="Heading2"/>
      </w:pPr>
      <w:r>
        <w:t xml:space="preserve">6. Contrat du composant partagé : l’éditeur de programme</w:t>
      </w:r>
    </w:p>
    <w:p>
      <w:pPr>
        <w:pStyle w:val="FirstParagraph"/>
      </w:pPr>
      <w:r>
        <w:rPr>
          <w:rStyle w:val="VerbatimChar"/>
        </w:rPr>
        <w:t xml:space="preserve">TMB.components.programEditor.mount(container, opts)</w:t>
      </w:r>
      <w:r>
        <w:t xml:space="preserve"> </w:t>
      </w:r>
      <w:r>
        <w:t xml:space="preserve">— utilisé par</w:t>
      </w:r>
      <w:r>
        <w:t xml:space="preserve"> </w:t>
      </w:r>
      <w:r>
        <w:rPr>
          <w:rStyle w:val="VerbatimChar"/>
        </w:rPr>
        <w:t xml:space="preserve">50-view-admin.js</w:t>
      </w:r>
      <w:r>
        <w:t xml:space="preserve"> </w:t>
      </w:r>
      <w:r>
        <w:t xml:space="preserve">(onglet Programmes) et</w:t>
      </w:r>
      <w:r>
        <w:t xml:space="preserve"> </w:t>
      </w:r>
      <w:r>
        <w:rPr>
          <w:rStyle w:val="VerbatimChar"/>
        </w:rPr>
        <w:t xml:space="preserve">60-view-coach.js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(container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id de catégorie affichée au départ</w:t>
      </w:r>
      <w:r>
        <w:br/>
      </w:r>
      <w:r>
        <w:rPr>
          <w:rStyle w:val="NormalTok"/>
        </w:rPr>
        <w:t xml:space="preserve">  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numéro de semaine initial (1 à 5)</w:t>
      </w:r>
      <w:r>
        <w:br/>
      </w:r>
      <w:r>
        <w:rPr>
          <w:rStyle w:val="NormalTok"/>
        </w:rPr>
        <w:t xml:space="preserve">  allowedCategories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catégories sélectionnables (null = toutes)</w:t>
      </w:r>
      <w:r>
        <w:br/>
      </w:r>
      <w:r>
        <w:rPr>
          <w:rStyle w:val="NormalTok"/>
        </w:rPr>
        <w:t xml:space="preserve">  lockCategory           </w:t>
      </w:r>
      <w:r>
        <w:rPr>
          <w:rStyle w:val="CommentTok"/>
        </w:rPr>
        <w:t xml:space="preserve">// true = pas de sélecteur (vue coach)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Une erreur à l’intérieur du composant remonte à l’appelant : elle</w:t>
      </w:r>
      <w:r>
        <w:t xml:space="preserve"> </w:t>
      </w:r>
      <w:r>
        <w:t xml:space="preserve">s’affichera donc comme une erreur du module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coach</w:t>
      </w:r>
      <w:r>
        <w:t xml:space="preserve">”</w:t>
      </w:r>
      <w:r>
        <w:t xml:space="preserve"> </w:t>
      </w:r>
      <w:r>
        <w:t xml:space="preserve">selon</w:t>
      </w:r>
      <w:r>
        <w:t xml:space="preserve"> </w:t>
      </w:r>
      <w:r>
        <w:t xml:space="preserve">qui l’a appelé, jamais comme une erreur</w:t>
      </w:r>
      <w:r>
        <w:t xml:space="preserve"> </w:t>
      </w:r>
      <w:r>
        <w:t xml:space="preserve">“</w:t>
      </w:r>
      <w:r>
        <w:t xml:space="preserve">programEditor</w:t>
      </w:r>
      <w:r>
        <w:t xml:space="preserve">”</w:t>
      </w:r>
      <w:r>
        <w:t xml:space="preserve"> </w:t>
      </w:r>
      <w:r>
        <w:t xml:space="preserve">à part — le</w:t>
      </w:r>
      <w:r>
        <w:t xml:space="preserve"> </w:t>
      </w:r>
      <w:r>
        <w:t xml:space="preserve">composant n’a pas son propre conteneur de vue, c’est normal.</w:t>
      </w:r>
    </w:p>
    <w:p>
      <w:r>
        <w:pict>
          <v:rect style="width:0;height:1.5pt" o:hralign="center" o:hrstd="t" o:hr="t"/>
        </w:pict>
      </w:r>
    </w:p>
    <w:bookmarkEnd w:id="28"/>
    <w:bookmarkStart w:id="29" w:name="lespace-design-designindex.html"/>
    <w:p>
      <w:pPr>
        <w:pStyle w:val="Heading2"/>
      </w:pPr>
      <w:r>
        <w:t xml:space="preserve">7. L’espace Design (</w:t>
      </w:r>
      <w:r>
        <w:rPr>
          <w:rStyle w:val="VerbatimChar"/>
        </w:rPr>
        <w:t xml:space="preserve">design/index.html</w:t>
      </w:r>
      <w:r>
        <w:t xml:space="preserve">)</w:t>
      </w:r>
    </w:p>
    <w:p>
      <w:pPr>
        <w:pStyle w:val="FirstParagraph"/>
      </w:pPr>
      <w:r>
        <w:t xml:space="preserve">Page autonome,</w:t>
      </w:r>
      <w:r>
        <w:t xml:space="preserve"> </w:t>
      </w:r>
      <w:r>
        <w:rPr>
          <w:bCs/>
          <w:b/>
        </w:rPr>
        <w:t xml:space="preserve">sans connexion ni Supabase requis</w:t>
      </w:r>
      <w:r>
        <w:t xml:space="preserve">, qui affiche tous</w:t>
      </w:r>
      <w:r>
        <w:t xml:space="preserve"> </w:t>
      </w:r>
      <w:r>
        <w:t xml:space="preserve">les composants visuels de l’app (couleurs, boutons, badges, onglets,</w:t>
      </w:r>
      <w:r>
        <w:t xml:space="preserve"> </w:t>
      </w:r>
      <w:r>
        <w:t xml:space="preserve">cartes, tableau, cartes de jour/exercice, anneau de progression,</w:t>
      </w:r>
      <w:r>
        <w:t xml:space="preserve"> </w:t>
      </w:r>
      <w:r>
        <w:t xml:space="preserve">notifications, aperçu de la page de connexion). Elle charge directement</w:t>
      </w:r>
      <w:r>
        <w:t xml:space="preserve"> </w:t>
      </w:r>
      <w:r>
        <w:rPr>
          <w:rStyle w:val="VerbatimChar"/>
        </w:rPr>
        <w:t xml:space="preserve">assets/style.css</w:t>
      </w:r>
      <w:r>
        <w:t xml:space="preserve">, donc</w:t>
      </w:r>
      <w:r>
        <w:t xml:space="preserve"> </w:t>
      </w:r>
      <w:r>
        <w:rPr>
          <w:bCs/>
          <w:b/>
        </w:rPr>
        <w:t xml:space="preserve">toute modification des variables de couleur/</w:t>
      </w:r>
      <w:r>
        <w:rPr>
          <w:bCs/>
          <w:b/>
        </w:rPr>
        <w:t xml:space="preserve"> </w:t>
      </w:r>
      <w:r>
        <w:rPr>
          <w:bCs/>
          <w:b/>
        </w:rPr>
        <w:t xml:space="preserve">espacement/rayon en haut de ce fichier se répercute instantanément ici</w:t>
      </w:r>
      <w:r>
        <w:rPr>
          <w:bCs/>
          <w:b/>
        </w:rPr>
        <w:t xml:space="preserve"> </w:t>
      </w:r>
      <w:r>
        <w:rPr>
          <w:bCs/>
          <w:b/>
        </w:rPr>
        <w:t xml:space="preserve">et dans l’app réelle</w:t>
      </w:r>
      <w:r>
        <w:t xml:space="preserve"> </w:t>
      </w:r>
      <w:r>
        <w:t xml:space="preserve">— c’est l’endroit prévu pour tester rapidement un</w:t>
      </w:r>
      <w:r>
        <w:t xml:space="preserve"> </w:t>
      </w:r>
      <w:r>
        <w:t xml:space="preserve">changement de design et vérifier que tout reste harmonisé avant de le</w:t>
      </w:r>
      <w:r>
        <w:t xml:space="preserve"> </w:t>
      </w:r>
      <w:r>
        <w:t xml:space="preserve">valider dans l’app.</w:t>
      </w:r>
    </w:p>
    <w:p>
      <w:r>
        <w:pict>
          <v:rect style="width:0;height:1.5pt" o:hralign="center" o:hrstd="t" o:hr="t"/>
        </w:pict>
      </w:r>
    </w:p>
    <w:bookmarkEnd w:id="29"/>
    <w:bookmarkStart w:id="30" w:name="flux-de-données-résumé"/>
    <w:p>
      <w:pPr>
        <w:pStyle w:val="Heading2"/>
      </w:pPr>
      <w:r>
        <w:t xml:space="preserve">8. Flux de données (résumé)</w:t>
      </w:r>
    </w:p>
    <w:p>
      <w:pPr>
        <w:pStyle w:val="SourceCode"/>
      </w:pPr>
      <w:r>
        <w:rPr>
          <w:rStyle w:val="VerbatimChar"/>
        </w:rPr>
        <w:t xml:space="preserve">init() (90-bootstrap.js)</w:t>
      </w:r>
      <w:r>
        <w:br/>
      </w:r>
      <w:r>
        <w:rPr>
          <w:rStyle w:val="VerbatimChar"/>
        </w:rPr>
        <w:t xml:space="preserve">  → sb.auth.getSession()</w:t>
      </w:r>
      <w:r>
        <w:br/>
      </w:r>
      <w:r>
        <w:rPr>
          <w:rStyle w:val="VerbatimChar"/>
        </w:rPr>
        <w:t xml:space="preserve">  → handleSessionChange()</w:t>
      </w:r>
      <w:r>
        <w:br/>
      </w:r>
      <w:r>
        <w:rPr>
          <w:rStyle w:val="VerbatimChar"/>
        </w:rPr>
        <w:t xml:space="preserve">      → loadUserProfile (11-data-api.js)</w:t>
      </w:r>
      <w:r>
        <w:br/>
      </w:r>
      <w:r>
        <w:rPr>
          <w:rStyle w:val="VerbatimChar"/>
        </w:rPr>
        <w:t xml:space="preserve">      → loadCategories</w:t>
      </w:r>
      <w:r>
        <w:br/>
      </w:r>
      <w:r>
        <w:rPr>
          <w:rStyle w:val="VerbatimChar"/>
        </w:rPr>
        <w:t xml:space="preserve">      → dispatch par rôle, via safeRender :</w:t>
      </w:r>
      <w:r>
        <w:br/>
      </w:r>
      <w:r>
        <w:rPr>
          <w:rStyle w:val="VerbatimChar"/>
        </w:rPr>
        <w:t xml:space="preserve">          admin  → 50-view-admin.js  (peut appeler 40-component-program-editor.js)</w:t>
      </w:r>
      <w:r>
        <w:br/>
      </w:r>
      <w:r>
        <w:rPr>
          <w:rStyle w:val="VerbatimChar"/>
        </w:rPr>
        <w:t xml:space="preserve">          coach  → 60-view-coach.js  (idem, catégorie verrouillée)</w:t>
      </w:r>
      <w:r>
        <w:br/>
      </w:r>
      <w:r>
        <w:rPr>
          <w:rStyle w:val="VerbatimChar"/>
        </w:rPr>
        <w:t xml:space="preserve">          player → 70-view-player.js</w:t>
      </w:r>
      <w:r>
        <w:br/>
      </w:r>
      <w:r>
        <w:rPr>
          <w:rStyle w:val="VerbatimChar"/>
        </w:rPr>
        <w:t xml:space="preserve">  → interaction utilisateur → appel TMB.data.* → mise à jour optimiste</w:t>
      </w:r>
      <w:r>
        <w:br/>
      </w:r>
      <w:r>
        <w:rPr>
          <w:rStyle w:val="VerbatimChar"/>
        </w:rPr>
        <w:t xml:space="preserve">    du DOM + toast (succès/erreur)</w:t>
      </w:r>
    </w:p>
    <w:p>
      <w:r>
        <w:pict>
          <v:rect style="width:0;height:1.5pt" o:hralign="center" o:hrstd="t" o:hr="t"/>
        </w:pict>
      </w:r>
    </w:p>
    <w:bookmarkEnd w:id="30"/>
    <w:bookmarkStart w:id="31" w:name="ajouter-un-nouveau-module-check-list"/>
    <w:p>
      <w:pPr>
        <w:pStyle w:val="Heading2"/>
      </w:pPr>
      <w:r>
        <w:t xml:space="preserve">9. Ajouter un nouveau module — check-list</w:t>
      </w:r>
    </w:p>
    <w:p>
      <w:pPr>
        <w:numPr>
          <w:ilvl w:val="0"/>
          <w:numId w:val="1003"/>
        </w:numPr>
        <w:pStyle w:val="Compact"/>
      </w:pPr>
      <w:r>
        <w:t xml:space="preserve">Choisir le préfixe numérique de la bonne tranche (</w:t>
      </w:r>
      <w:r>
        <w:rPr>
          <w:rStyle w:val="VerbatimChar"/>
        </w:rPr>
        <w:t xml:space="preserve">assets/js/README.md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Créer le fichier en IIFE, n’écrire que dans une case dédiée de</w:t>
      </w:r>
      <w:r>
        <w:t xml:space="preserve"> </w:t>
      </w:r>
      <w:r>
        <w:rPr>
          <w:rStyle w:val="VerbatimChar"/>
        </w:rPr>
        <w:t xml:space="preserve">window.TMB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Ajouter la balise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bCs/>
          <w:b/>
        </w:rPr>
        <w:t xml:space="preserve">après</w:t>
      </w:r>
      <w:r>
        <w:t xml:space="preserve"> </w:t>
      </w:r>
      <w:r>
        <w:t xml:space="preserve">tous ses</w:t>
      </w:r>
      <w:r>
        <w:t xml:space="preserve"> </w:t>
      </w:r>
      <w:r>
        <w:t xml:space="preserve">dépendances (voir le diagramme Mermaid §5).</w:t>
      </w:r>
    </w:p>
    <w:p>
      <w:pPr>
        <w:numPr>
          <w:ilvl w:val="0"/>
          <w:numId w:val="1003"/>
        </w:numPr>
        <w:pStyle w:val="Compact"/>
      </w:pPr>
      <w:r>
        <w:t xml:space="preserve">Si c’est une vue top-level : l’enrober avec</w:t>
      </w:r>
      <w:r>
        <w:t xml:space="preserve"> </w:t>
      </w:r>
      <w:r>
        <w:rPr>
          <w:rStyle w:val="VerbatimChar"/>
        </w:rPr>
        <w:t xml:space="preserve">TMB.errors.safeRender(...)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90-bootstrap.js</w:t>
      </w:r>
      <w:r>
        <w:t xml:space="preserve">, avec un sélecteur de conteneur dédié.</w:t>
      </w:r>
    </w:p>
    <w:p>
      <w:pPr>
        <w:numPr>
          <w:ilvl w:val="0"/>
          <w:numId w:val="1003"/>
        </w:numPr>
        <w:pStyle w:val="Compact"/>
      </w:pPr>
      <w:r>
        <w:t xml:space="preserve">Documenter la nouvelle ligne dans</w:t>
      </w:r>
      <w:r>
        <w:t xml:space="preserve"> </w:t>
      </w:r>
      <w:r>
        <w:rPr>
          <w:rStyle w:val="VerbatimChar"/>
        </w:rPr>
        <w:t xml:space="preserve">assets/js/README.md</w:t>
      </w:r>
      <w:r>
        <w:t xml:space="preserve"> </w:t>
      </w:r>
      <w:r>
        <w:t xml:space="preserve">et dans le</w:t>
      </w:r>
      <w:r>
        <w:t xml:space="preserve"> </w:t>
      </w:r>
      <w:r>
        <w:t xml:space="preserve">tableau du §2 ci-dessus.</w:t>
      </w:r>
    </w:p>
    <w:p>
      <w:pPr>
        <w:numPr>
          <w:ilvl w:val="0"/>
          <w:numId w:val="1003"/>
        </w:numPr>
        <w:pStyle w:val="Compact"/>
      </w:pPr>
      <w:r>
        <w:t xml:space="preserve">Si le composant a un rendu visuel réutilisable, l’ajouter au</w:t>
      </w:r>
      <w:r>
        <w:t xml:space="preserve"> </w:t>
      </w:r>
      <w:r>
        <w:t xml:space="preserve">catalogue</w:t>
      </w:r>
      <w:r>
        <w:t xml:space="preserve"> </w:t>
      </w:r>
      <w:r>
        <w:rPr>
          <w:rStyle w:val="VerbatimChar"/>
        </w:rPr>
        <w:t xml:space="preserve">design/index.html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TMB Summer Book ��� Architecture</dc:title>
  <dc:creator/>
  <cp:keywords/>
  <dcterms:created xsi:type="dcterms:W3CDTF">2026-07-08T20:24:52Z</dcterms:created>
  <dcterms:modified xsi:type="dcterms:W3CDTF">2026-07-08T20:24:52Z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