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r>
        <w:rPr>
          <w:rFonts w:ascii="DejaVu Sans" w:hAnsi="DejaVu Sans" w:eastAsia="DejaVu Sans" w:cs="DejaVu Sans"/>
          <w:color w:val="1F3A68"/>
        </w:rPr>
        <w:t xml:space="preserve">✉ </w:t>
      </w:r>
      <w:hyperlink r:id="rId9" w:history="1">
        <w:r>
          <w:rPr>
            <w:color w:val="1F3A68"/>
          </w:rPr>
          <w:t>anika.sharma@example.org</w:t>
        </w:r>
      </w:hyperlink>
      <w:r>
        <w:rPr>
          <w:color w:val="4E566B"/>
        </w:rPr>
        <w:t xml:space="preserve">    </w:t>
      </w:r>
      <w:r>
        <w:rPr>
          <w:rFonts w:ascii="DejaVu Sans" w:hAnsi="DejaVu Sans" w:eastAsia="DejaVu Sans" w:cs="DejaVu Sans"/>
          <w:color w:val="1F3A68"/>
        </w:rPr>
        <w:t xml:space="preserve">☎ </w:t>
      </w:r>
      <w:hyperlink r:id="rId10" w:history="1">
        <w:r>
          <w:rPr>
            <w:color w:val="1F3A68"/>
          </w:rPr>
          <w:t>+91 00000 12345</w:t>
        </w:r>
      </w:hyperlink>
      <w:r>
        <w:rPr>
          <w:color w:val="4E566B"/>
        </w:rPr>
        <w:t xml:space="preserve">    </w:t>
      </w:r>
      <w:r>
        <w:rPr>
          <w:rFonts w:ascii="DejaVu Sans" w:hAnsi="DejaVu Sans" w:eastAsia="DejaVu Sans" w:cs="DejaVu Sans"/>
          <w:color w:val="1F3A68"/>
        </w:rPr>
        <w:t xml:space="preserve">⌂ </w:t>
      </w:r>
      <w:r>
        <w:t>New Delhi, India</w:t>
      </w:r>
      <w:r>
        <w:rPr>
          <w:color w:val="4E566B"/>
        </w:rPr>
        <w:t xml:space="preserve">    </w:t>
      </w:r>
      <w:r>
        <w:rPr>
          <w:rFonts w:ascii="DejaVu Sans" w:hAnsi="DejaVu Sans" w:eastAsia="DejaVu Sans" w:cs="DejaVu Sans"/>
          <w:color w:val="1F3A68"/>
        </w:rPr>
        <w:t xml:space="preserve">➤ </w:t>
      </w:r>
      <w:hyperlink r:id="rId11" w:history="1">
        <w:r>
          <w:rPr>
            <w:color w:val="1F3A68"/>
          </w:rPr>
          <w:t>ORCID 0000-0002-1825-0097</w:t>
        </w:r>
      </w:hyperlink>
      <w:r>
        <w:rPr>
          <w:color w:val="4E566B"/>
        </w:rPr>
        <w:t xml:space="preserve">    </w:t>
      </w:r>
      <w:r>
        <w:rPr>
          <w:rFonts w:ascii="DejaVu Sans" w:hAnsi="DejaVu Sans" w:eastAsia="DejaVu Sans" w:cs="DejaVu Sans"/>
          <w:color w:val="1F3A68"/>
        </w:rPr>
        <w:t xml:space="preserve">➤ </w:t>
      </w:r>
      <w:hyperlink r:id="rId12" w:history="1">
        <w:r>
          <w:rPr>
            <w:color w:val="1F3A68"/>
          </w:rPr>
          <w:t>anika-sharma.example.org</w:t>
        </w:r>
      </w:hyperlink>
    </w:p>
    <w:p>
      <w:pPr>
        <w:pBdr>
          <w:bottom w:val="single" w:sz="16" w:space="0" w:color="1F3A68"/>
        </w:pBdr>
        <w:spacing w:before="60" w:after="80" w:lineRule="exact" w:line="20"/>
      </w:pP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Research Profile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Research at a Glance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32" w:space="0" w:color="FFFFFF"/>
          <w:left w:val="single" w:sz="32" w:space="0" w:color="FFFFFF"/>
          <w:bottom w:val="single" w:sz="32" w:space="0" w:color="FFFFFF"/>
          <w:right w:val="single" w:sz="32" w:space="0" w:color="FFFFFF"/>
          <w:insideH w:val="single" w:sz="32" w:space="0" w:color="FFFFFF"/>
          <w:insideV w:val="single" w:sz="32" w:space="0" w:color="FFFFFF"/>
        </w:tblBorders>
        <w:tblCellMar>
          <w:top w:w="48" w:type="dxa"/>
          <w:left w:w="80" w:type="dxa"/>
          <w:bottom w:w="48" w:type="dxa"/>
          <w:right w:w="80" w:type="dxa"/>
        </w:tblCellMar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3</w:t>
            </w:r>
          </w:p>
          <w:p>
            <w:pPr>
              <w:pStyle w:val="RISTileLabel"/>
            </w:pPr>
            <w:r>
              <w:t>Journal articles</w:t>
            </w:r>
          </w:p>
        </w:tc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3</w:t>
            </w:r>
          </w:p>
          <w:p>
            <w:pPr>
              <w:pStyle w:val="RISTileLabel"/>
            </w:pPr>
            <w:r>
              <w:t>Conference papers</w:t>
            </w:r>
          </w:p>
        </w:tc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1</w:t>
            </w:r>
          </w:p>
          <w:p>
            <w:pPr>
              <w:pStyle w:val="RISTileLabel"/>
            </w:pPr>
            <w:r>
              <w:t>Manuscript under review</w:t>
            </w:r>
          </w:p>
        </w:tc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1</w:t>
            </w:r>
          </w:p>
          <w:p>
            <w:pPr>
              <w:pStyle w:val="RISTileLabel"/>
            </w:pPr>
            <w:r>
              <w:t>Research grant</w:t>
            </w:r>
          </w:p>
        </w:tc>
      </w:tr>
      <w:tr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1</w:t>
            </w:r>
          </w:p>
          <w:p>
            <w:pPr>
              <w:pStyle w:val="RISTileLabel"/>
            </w:pPr>
            <w:r>
              <w:t>Talk / presentation</w:t>
            </w:r>
          </w:p>
        </w:tc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142</w:t>
            </w:r>
          </w:p>
          <w:p>
            <w:pPr>
              <w:pStyle w:val="RISTileLabel"/>
            </w:pPr>
            <w:r>
              <w:t>Citations</w:t>
            </w:r>
          </w:p>
          <w:p>
            <w:pPr>
              <w:pStyle w:val="RISTileCaption"/>
            </w:pPr>
            <w:r>
              <w:t>Google Scholar (fictional example), Oct 2026</w:t>
            </w:r>
          </w:p>
        </w:tc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6</w:t>
            </w:r>
          </w:p>
          <w:p>
            <w:pPr>
              <w:pStyle w:val="RISTileLabel"/>
            </w:pPr>
            <w:r>
              <w:t>h-index</w:t>
            </w:r>
          </w:p>
          <w:p>
            <w:pPr>
              <w:pStyle w:val="RISTileCaption"/>
            </w:pPr>
            <w:r>
              <w:t>Google Scholar (fictional example), Oct 2026</w:t>
            </w:r>
          </w:p>
        </w:tc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4</w:t>
            </w:r>
          </w:p>
          <w:p>
            <w:pPr>
              <w:pStyle w:val="RISTileLabel"/>
            </w:pPr>
            <w:r>
              <w:t>i10-index</w:t>
            </w:r>
          </w:p>
          <w:p>
            <w:pPr>
              <w:pStyle w:val="RISTileCaption"/>
            </w:pPr>
            <w:r>
              <w:t>Google Scholar (fictional example), Oct 2026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80"/>
      </w:pPr>
      <w:r>
        <w:rPr>
          <w:sz w:val="2"/>
        </w:rPr>
      </w:r>
    </w:p>
    <w:p>
      <w:pPr>
        <w:keepNext w:val="0"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336000" cy="1654857"/>
            <wp:docPr id="1" name="Picture 1" descr="Publications per year: 2021: 1 journal; 2022: 1 conference; 2023: 1 conference; 2024: 1 journal; 2025: 1 conference, 1 journal" title="Publications per ye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1654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ISMeta"/>
      </w:pPr>
      <w:r>
        <w:rPr>
          <w:i/>
        </w:rPr>
        <w:t>Published and accepted outputs by year (from your publication records).</w:t>
      </w:r>
    </w:p>
    <w:p>
      <w:pPr>
        <w:spacing w:before="0" w:after="0" w:lineRule="exact" w:line="4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Peer-reviewed 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4" w:history="1">
        <w:r>
          <w:rPr>
            <w:color w:val="1F3A68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5" w:history="1">
        <w:r>
          <w:rPr>
            <w:color w:val="1F3A68"/>
          </w:rPr>
          <w:t xml:space="preserve"> doi: 10.5555/ejai.2021.0042</w:t>
        </w:r>
      </w:hyperlink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Manuscripts Under Review / In Preparation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>, M. Khan and R. Iyer</w:t>
      </w:r>
      <w:r>
        <w:t xml:space="preserve">, </w:t>
      </w:r>
      <w:r>
        <w:t>“Detection-aware quality assessment of super-resolved drone images,” under review at Example Transactions on Geoscience Imaging.</w:t>
      </w:r>
      <w:r>
        <w:rPr>
          <w:i/>
          <w:color w:val="4E566B"/>
        </w:rPr>
        <w:t xml:space="preserve"> [Under review]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 xml:space="preserve">, </w:t>
      </w:r>
      <w:r>
        <w:t>“Simulation study of balloon-released gliding sondes,” in preparation.</w:t>
      </w:r>
      <w:r>
        <w:rPr>
          <w:i/>
          <w:color w:val="4E566B"/>
        </w:rPr>
        <w:t xml:space="preserve"> [In preparation]</w:t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Research Projects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84" w:type="dxa"/>
          <w:left w:w="140" w:type="dxa"/>
          <w:bottom w:w="84" w:type="dxa"/>
          <w:right w:w="140" w:type="dxa"/>
        </w:tblCellMar>
      </w:tblPr>
      <w:tblGrid>
        <w:gridCol w:w="9978"/>
      </w:tblGrid>
      <w:tr>
        <w:tc>
          <w:tcPr>
            <w:tcW w:type="dxa" w:w="9978"/>
            <w:shd w:val="clear" w:color="auto" w:fill="EDF1F8"/>
          </w:tcPr>
          <w:p>
            <w:pPr>
              <w:pStyle w:val="RISCardTitle"/>
              <w:tabs>
                <w:tab w:pos="9688" w:val="right"/>
              </w:tabs>
            </w:pPr>
            <w:r>
              <w:t>Edge super-resolution pipeline for UAV imagery</w:t>
            </w:r>
            <w:r>
              <w:rPr>
                <w:i/>
                <w:color w:val="4E566B"/>
              </w:rPr>
              <w:t xml:space="preserve"> (Ongoing)</w:t>
            </w:r>
            <w:r>
              <w:tab/>
            </w:r>
            <w:r>
              <w:rPr>
                <w:color w:val="4E566B"/>
              </w:rPr>
              <w:t>Sep 2021 – Present</w:t>
            </w:r>
          </w:p>
          <w:p>
            <w:pPr>
              <w:pStyle w:val="RISEntrySub"/>
            </w:pPr>
            <w:r>
              <w:rPr>
                <w:i/>
              </w:rPr>
              <w:t>Principal investigator, Kestrel Atmospheric Instrumentation Laboratory</w:t>
            </w:r>
          </w:p>
          <w:p>
            <w:pPr>
              <w:pStyle w:val="RISBody"/>
            </w:pPr>
            <w:r>
              <w:t>Research prototype that enhances low-resolution UAV video in real time on embedded GPUs using pruned and distilled deep networks.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Implemented structured channel pruning and knowledge distillation to shrink the super-resolution network for embedded deployment.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Converted models through ONNX to INT8 TensorRT engines, achieving 3.1× faster inference on Jetson Xavier NX.</w:t>
            </w:r>
          </w:p>
          <w:p>
            <w:pPr>
              <w:pStyle w:val="RISMeta"/>
            </w:pPr>
            <w:r>
              <w:rPr>
                <w:b/>
              </w:rPr>
              <w:t xml:space="preserve">Technologies: </w:t>
            </w:r>
            <w:r>
              <w:t>NVIDIA Jetson Xavier NX, NVIDIA Jetson Orin Nano, PyTorch, TensorRT, ONNX, Docker, Structured pruning, Knowledge distillation, INT8 quantisation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00"/>
      </w:pPr>
      <w:r>
        <w:rPr>
          <w:sz w:val="2"/>
        </w:rPr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84" w:type="dxa"/>
          <w:left w:w="140" w:type="dxa"/>
          <w:bottom w:w="84" w:type="dxa"/>
          <w:right w:w="140" w:type="dxa"/>
        </w:tblCellMar>
      </w:tblPr>
      <w:tblGrid>
        <w:gridCol w:w="9978"/>
      </w:tblGrid>
      <w:tr>
        <w:tc>
          <w:tcPr>
            <w:tcW w:type="dxa" w:w="9978"/>
            <w:shd w:val="clear" w:color="auto" w:fill="EDF1F8"/>
          </w:tcPr>
          <w:p>
            <w:pPr>
              <w:pStyle w:val="RISCardTitle"/>
              <w:tabs>
                <w:tab w:pos="9688" w:val="right"/>
              </w:tabs>
            </w:pPr>
            <w:r>
              <w:t>Radiosonde ground-station acceptance test protocol</w:t>
            </w:r>
            <w:r>
              <w:tab/>
            </w:r>
            <w:r>
              <w:rPr>
                <w:color w:val="4E566B"/>
              </w:rPr>
              <w:t>Jan 2018 – Mar 2019</w:t>
            </w:r>
          </w:p>
          <w:p>
            <w:pPr>
              <w:pStyle w:val="RISEntrySub"/>
            </w:pPr>
            <w:r>
              <w:rPr>
                <w:i/>
              </w:rPr>
              <w:t>Coordinator</w:t>
            </w:r>
          </w:p>
          <w:p>
            <w:pPr>
              <w:pStyle w:val="RISBody"/>
              <w:spacing w:after="30"/>
            </w:pPr>
            <w:r>
              <w:rPr>
                <w:b/>
                <w:color w:val="1F3A68"/>
              </w:rPr>
              <w:t xml:space="preserve">Challenge: </w:t>
            </w:r>
            <w:r>
              <w:t>Station acceptance testing varied between sites.</w:t>
            </w:r>
          </w:p>
          <w:p>
            <w:pPr>
              <w:pStyle w:val="RISBody"/>
              <w:spacing w:after="30"/>
            </w:pPr>
            <w:r>
              <w:rPr>
                <w:b/>
                <w:color w:val="1F3A68"/>
              </w:rPr>
              <w:t xml:space="preserve">Outcome: </w:t>
            </w:r>
            <w:r>
              <w:t>A common acceptance protocol and checklist adopted for new ground-receiving systems.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00"/>
      </w:pPr>
      <w:r>
        <w:rPr>
          <w:sz w:val="2"/>
        </w:rPr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84" w:type="dxa"/>
          <w:left w:w="140" w:type="dxa"/>
          <w:bottom w:w="84" w:type="dxa"/>
          <w:right w:w="140" w:type="dxa"/>
        </w:tblCellMar>
      </w:tblPr>
      <w:tblGrid>
        <w:gridCol w:w="9978"/>
      </w:tblGrid>
      <w:tr>
        <w:tc>
          <w:tcPr>
            <w:tcW w:type="dxa" w:w="9978"/>
            <w:shd w:val="clear" w:color="auto" w:fill="EDF1F8"/>
          </w:tcPr>
          <w:p>
            <w:pPr>
              <w:pStyle w:val="RISCardTitle"/>
              <w:tabs>
                <w:tab w:pos="9688" w:val="right"/>
              </w:tabs>
            </w:pPr>
            <w:r>
              <w:t>IoT monitoring of laboratory infrastructure</w:t>
            </w:r>
            <w:r>
              <w:tab/>
            </w:r>
            <w:r>
              <w:rPr>
                <w:color w:val="4E566B"/>
              </w:rPr>
              <w:t>Feb 2020 – Jun 2022</w:t>
            </w:r>
          </w:p>
          <w:p>
            <w:pPr>
              <w:pStyle w:val="RISEntrySub"/>
            </w:pPr>
            <w:r>
              <w:rPr>
                <w:i/>
              </w:rPr>
              <w:t>Project lead</w:t>
            </w:r>
          </w:p>
          <w:p>
            <w:pPr>
              <w:pStyle w:val="RISBody"/>
              <w:spacing w:after="30"/>
            </w:pPr>
            <w:r>
              <w:rPr>
                <w:b/>
                <w:color w:val="1F3A68"/>
              </w:rPr>
              <w:t xml:space="preserve">Challenge: </w:t>
            </w:r>
            <w:r>
              <w:t>Instrument rooms lacked continuous environmental and power-quality monitoring.</w:t>
            </w:r>
          </w:p>
          <w:p>
            <w:pPr>
              <w:pStyle w:val="RISBody"/>
              <w:spacing w:after="30"/>
            </w:pPr>
            <w:r>
              <w:rPr>
                <w:b/>
                <w:color w:val="1F3A68"/>
              </w:rPr>
              <w:t xml:space="preserve">Approach: </w:t>
            </w:r>
            <w:r>
              <w:t>Deployed ESP32 sensor nodes publishing over MQTT to a Node-RED flow, InfluxDB time-series storage and Grafana dashboards with threshold alerts.</w:t>
            </w:r>
          </w:p>
          <w:p>
            <w:pPr>
              <w:pStyle w:val="RISBody"/>
              <w:spacing w:after="30"/>
            </w:pPr>
            <w:r>
              <w:rPr>
                <w:b/>
                <w:color w:val="1F3A68"/>
              </w:rPr>
              <w:t xml:space="preserve">Outcome: </w:t>
            </w:r>
            <w:r>
              <w:t>Continuous monitoring with automated alerts replaced manual twice-daily readings.</w:t>
            </w:r>
          </w:p>
          <w:p>
            <w:pPr>
              <w:pStyle w:val="RISMeta"/>
            </w:pPr>
            <w:r>
              <w:rPr>
                <w:b/>
              </w:rPr>
              <w:t xml:space="preserve">Technologies: </w:t>
            </w:r>
            <w:r>
              <w:t>ESP32, Environmental sensors, MQTT, Node-RED, InfluxDB, Grafana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Research Grants &amp; Funding</w:t>
      </w:r>
    </w:p>
    <w:p>
      <w:pPr>
        <w:pStyle w:val="Heading2"/>
        <w:tabs>
          <w:tab w:pos="9968" w:val="right"/>
        </w:tabs>
      </w:pPr>
      <w:r>
        <w:rPr>
          <w:b/>
        </w:rPr>
        <w:t>Seed grant: edge-AI enhancement of aerial imagery</w:t>
      </w:r>
      <w:r>
        <w:rPr>
          <w:i/>
          <w:color w:val="4E566B"/>
        </w:rPr>
        <w:t xml:space="preserve"> (Completed)</w:t>
      </w:r>
      <w:r>
        <w:tab/>
      </w:r>
      <w:r>
        <w:t>Apr 2023 – Mar 2025</w:t>
      </w:r>
    </w:p>
    <w:p>
      <w:pPr>
        <w:pStyle w:val="RISEntrySub"/>
      </w:pPr>
      <w:r>
        <w:rPr>
          <w:i/>
        </w:rPr>
        <w:t>Principal investigator, Example Science Foundation (fictional)</w:t>
      </w:r>
    </w:p>
    <w:p>
      <w:pPr>
        <w:pStyle w:val="RISBody"/>
      </w:pPr>
      <w:r>
        <w:t>Two-year seed project on lightweight super-resolution networks for embedded GPUs.</w:t>
      </w:r>
    </w:p>
    <w:p>
      <w:pPr>
        <w:pStyle w:val="RISMeta"/>
      </w:pPr>
      <w:r>
        <w:rPr>
          <w:b/>
        </w:rPr>
        <w:t xml:space="preserve">Reference: </w:t>
      </w:r>
      <w:r>
        <w:t>ESF/SEED/2023/017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Talks &amp; Presentations</w:t>
      </w:r>
    </w:p>
    <w:p>
      <w:pPr>
        <w:pStyle w:val="Heading2"/>
        <w:tabs>
          <w:tab w:pos="9968" w:val="right"/>
        </w:tabs>
      </w:pPr>
      <w:r>
        <w:rPr>
          <w:b/>
        </w:rPr>
        <w:t>Invited talk: Edge AI for atmospheric observation</w:t>
      </w:r>
      <w:r>
        <w:tab/>
      </w:r>
      <w:r>
        <w:t>2024</w:t>
      </w:r>
    </w:p>
    <w:p>
      <w:pPr>
        <w:pStyle w:val="RISEntrySub"/>
      </w:pPr>
      <w:r>
        <w:rPr>
          <w:i/>
        </w:rPr>
        <w:t>Example Symposium on Applied AI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Appointments</w:t>
      </w:r>
    </w:p>
    <w:p>
      <w:pPr>
        <w:pStyle w:val="Heading2"/>
        <w:tabs>
          <w:tab w:pos="9968" w:val="right"/>
        </w:tabs>
      </w:pPr>
      <w:r>
        <w:rPr>
          <w:b/>
        </w:rPr>
        <w:t>Scientist E</w:t>
      </w:r>
      <w:r>
        <w:tab/>
      </w:r>
      <w:r>
        <w:t>Jul 2016 – Present</w:t>
      </w:r>
    </w:p>
    <w:p>
      <w:pPr>
        <w:pStyle w:val="RISEntrySub"/>
      </w:pPr>
      <w:r>
        <w:rPr>
          <w:i/>
        </w:rPr>
        <w:t>Upper Air Instrumentation Division, Kestrel Atmospheric Instrumentation Laboratory, New Delhi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968" w:val="right"/>
        </w:tabs>
        <w:ind w:left="255"/>
      </w:pPr>
      <w:r>
        <w:rPr>
          <w:i/>
          <w:color w:val="4E566B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Bullet"/>
        <w:numPr>
          <w:ilvl w:val="1"/>
          <w:numId w:val="90"/>
        </w:numPr>
        <w:ind w:left="510" w:hanging="255"/>
      </w:pPr>
      <w:r>
        <w:t>Introduced a job-card and spares-inventory system for instrument repairs and calibration work.</w:t>
      </w:r>
    </w:p>
    <w:p>
      <w:pPr>
        <w:pStyle w:val="RISBullet"/>
        <w:numPr>
          <w:ilvl w:val="1"/>
          <w:numId w:val="90"/>
        </w:numPr>
        <w:ind w:left="510" w:hanging="255"/>
      </w:pPr>
      <w:r>
        <w:t>Supervise technicians and plan preventive maintenance for workshop test equipment.</w:t>
      </w:r>
    </w:p>
    <w:p>
      <w:pPr>
        <w:pStyle w:val="RISChildTitle"/>
        <w:tabs>
          <w:tab w:pos="9968" w:val="right"/>
        </w:tabs>
        <w:ind w:left="255"/>
      </w:pPr>
      <w:r>
        <w:rPr>
          <w:i/>
          <w:color w:val="4E566B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Senior Design Engineer</w:t>
      </w:r>
      <w:r>
        <w:tab/>
      </w:r>
      <w:r>
        <w:t>Jun 2004 – Jun 2016</w:t>
      </w:r>
    </w:p>
    <w:p>
      <w:pPr>
        <w:pStyle w:val="RISEntrySub"/>
      </w:pPr>
      <w:r>
        <w:rPr>
          <w:i/>
        </w:rPr>
        <w:t>Avionics Integration Group, Halcyon Avionics Design Bureau, Bengaluru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Integrated mission-computer and display units on MIL-STD-1553 avionics buses and built the automated test rig used for bench validation.</w:t>
      </w:r>
    </w:p>
    <w:p>
      <w:pPr>
        <w:pStyle w:val="RISBullet"/>
        <w:numPr>
          <w:ilvl w:val="0"/>
          <w:numId w:val="90"/>
        </w:numPr>
        <w:ind w:left="255" w:hanging="255"/>
      </w:pPr>
      <w:r>
        <w:t>Mentored graduate engineer trainees on avionics bus protocols and test documentation.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Planned environmental qualification (MIL-STD-810 vibration, temperature and humidity) for line-replaceable units and documented the test results.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Graduate Engineer</w:t>
      </w:r>
      <w:r>
        <w:tab/>
      </w:r>
      <w:r>
        <w:t>Aug 2002 – May 2004</w:t>
      </w:r>
    </w:p>
    <w:p>
      <w:pPr>
        <w:pStyle w:val="RISEntrySub"/>
      </w:pPr>
      <w:r>
        <w:rPr>
          <w:i/>
        </w:rPr>
        <w:t>Test Systems Group, Meridian Electronics Limited, Bengaluru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Education</w:t>
      </w:r>
    </w:p>
    <w:p>
      <w:pPr>
        <w:pStyle w:val="Heading2"/>
        <w:tabs>
          <w:tab w:pos="9968" w:val="right"/>
        </w:tabs>
      </w:pPr>
      <w:r>
        <w:rPr>
          <w:b/>
        </w:rPr>
        <w:t>Ph.D., Electrical and Electronics Engineering</w:t>
      </w:r>
      <w:r>
        <w:tab/>
      </w:r>
      <w:r>
        <w:t>2021 – ongoing</w:t>
      </w:r>
    </w:p>
    <w:p>
      <w:pPr>
        <w:pStyle w:val="RISEntrySub"/>
      </w:pPr>
      <w:r>
        <w:rPr>
          <w:i/>
        </w:rPr>
        <w:t>Northfield Institute of Science and Technology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M.Tech., Avionics</w:t>
      </w:r>
      <w:r>
        <w:tab/>
      </w:r>
      <w:r>
        <w:t>2010</w:t>
      </w:r>
    </w:p>
    <w:p>
      <w:pPr>
        <w:pStyle w:val="RISEntrySub"/>
      </w:pPr>
      <w:r>
        <w:rPr>
          <w:i/>
        </w:rPr>
        <w:t>Coastal Institute of Aeronautical Engineering, Chennai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B.E., Electronics and Communication Engineering</w:t>
      </w:r>
      <w:r>
        <w:tab/>
      </w:r>
      <w:r>
        <w:t>2004</w:t>
      </w:r>
    </w:p>
    <w:p>
      <w:pPr>
        <w:pStyle w:val="RISEntrySub"/>
      </w:pPr>
      <w:r>
        <w:rPr>
          <w:i/>
        </w:rPr>
        <w:t>Northfield Institute of Science and Technology, Northfield University, Pune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Professional Service</w:t>
      </w:r>
    </w:p>
    <w:p>
      <w:pPr>
        <w:pStyle w:val="Heading2"/>
        <w:tabs>
          <w:tab w:pos="9968" w:val="right"/>
        </w:tabs>
      </w:pPr>
      <w:r>
        <w:rPr>
          <w:b/>
        </w:rPr>
        <w:t>Reviewer, Example Journal of Atmospheric Instrumentation</w:t>
      </w:r>
      <w:r>
        <w:tab/>
      </w:r>
      <w:r>
        <w:t>2022 – Present</w:t>
      </w:r>
    </w:p>
    <w:p>
      <w:pPr>
        <w:pStyle w:val="RISEntrySub"/>
      </w:pPr>
      <w:r>
        <w:rPr>
          <w:i/>
        </w:rPr>
        <w:t>Example Journal of Atmospheric Instrumentation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Co-supervisor, two M.Tech. dissertations in embedded vision</w:t>
      </w:r>
      <w:r>
        <w:tab/>
      </w:r>
      <w:r>
        <w:t>2024 – 2025</w:t>
      </w:r>
    </w:p>
    <w:p>
      <w:pPr>
        <w:pStyle w:val="RISEntrySub"/>
      </w:pPr>
      <w:r>
        <w:rPr>
          <w:i/>
        </w:rPr>
        <w:t>Example Institute of Technology (fictional)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Awards &amp; Honours</w:t>
      </w:r>
    </w:p>
    <w:p>
      <w:pPr>
        <w:pStyle w:val="Heading2"/>
        <w:tabs>
          <w:tab w:pos="9968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rPr>
          <w:i/>
        </w:rPr>
        <w:t>Example Conference on Instrumentation (ECI 2023)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Professional Memberships</w:t>
      </w:r>
    </w:p>
    <w:p>
      <w:pPr>
        <w:pStyle w:val="Heading2"/>
        <w:tabs>
          <w:tab w:pos="9968" w:val="right"/>
        </w:tabs>
      </w:pPr>
      <w:r>
        <w:rPr>
          <w:b/>
        </w:rPr>
        <w:t>Member, Institution of Example Engineers</w:t>
      </w:r>
      <w:r>
        <w:tab/>
      </w:r>
      <w:r>
        <w:t>2010 – Present</w:t>
      </w:r>
    </w:p>
    <w:p>
      <w:pPr>
        <w:pStyle w:val="RISEntrySub"/>
      </w:pPr>
      <w:r>
        <w:rPr>
          <w:i/>
        </w:rPr>
        <w:t>Institution of Example Engineers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Certifications &amp; Licences</w:t>
      </w:r>
    </w:p>
    <w:p>
      <w:pPr>
        <w:pStyle w:val="Heading2"/>
        <w:tabs>
          <w:tab w:pos="9968" w:val="right"/>
        </w:tabs>
      </w:pPr>
      <w:r>
        <w:rPr>
          <w:b/>
        </w:rPr>
        <w:t>Deep Learning for Edge Devices</w:t>
      </w:r>
      <w:r>
        <w:tab/>
      </w:r>
      <w:r>
        <w:t>Mar 2022</w:t>
      </w:r>
    </w:p>
    <w:p>
      <w:pPr>
        <w:pStyle w:val="RISEntrySub"/>
      </w:pPr>
      <w:r>
        <w:rPr>
          <w:i/>
        </w:rPr>
        <w:t>Example Academy of Applied Computing</w:t>
      </w:r>
    </w:p>
    <w:p>
      <w:pPr>
        <w:pStyle w:val="RISBody"/>
      </w:pPr>
      <w:r>
        <w:t>Used the model-compression techniques to deploy the drone super-resolution model on Jetson modules.</w:t>
      </w:r>
    </w:p>
    <w:p>
      <w:pPr>
        <w:pStyle w:val="RISMeta"/>
      </w:pPr>
      <w:r>
        <w:rPr>
          <w:b/>
        </w:rPr>
        <w:t xml:space="preserve">Duration: </w:t>
      </w:r>
      <w:r>
        <w:t>40 hours</w:t>
      </w:r>
    </w:p>
    <w:p>
      <w:pPr>
        <w:pStyle w:val="RISMeta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</w:pPr>
      <w:r>
        <w:rPr>
          <w:b/>
        </w:rPr>
        <w:t xml:space="preserve">Valid until: </w:t>
      </w:r>
      <w:r>
        <w:t>Mar 2029</w:t>
      </w:r>
    </w:p>
    <w:p>
      <w:pPr>
        <w:pStyle w:val="RISMeta"/>
      </w:pPr>
      <w:r>
        <w:rPr>
          <w:b/>
        </w:rPr>
        <w:t xml:space="preserve">Mode: </w:t>
      </w:r>
      <w:r>
        <w:t>Online</w:t>
      </w:r>
    </w:p>
    <w:p>
      <w:pPr>
        <w:pStyle w:val="RISMeta"/>
      </w:pPr>
      <w:r>
        <w:rPr>
          <w:b/>
        </w:rPr>
        <w:t xml:space="preserve">Skills: </w:t>
      </w:r>
      <w:r>
        <w:t>Deep learning, Edge AI, TensorRT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Academic English proficiency test</w:t>
      </w:r>
      <w:r>
        <w:rPr>
          <w:i/>
          <w:color w:val="4E566B"/>
        </w:rPr>
        <w:t xml:space="preserve"> (Expired)</w:t>
      </w:r>
      <w:r>
        <w:tab/>
      </w:r>
      <w:r>
        <w:t>May 2016</w:t>
      </w:r>
    </w:p>
    <w:p>
      <w:pPr>
        <w:pStyle w:val="RISEntrySub"/>
      </w:pPr>
      <w:r>
        <w:rPr>
          <w:i/>
        </w:rPr>
        <w:t>Example Language Testing Board</w:t>
      </w:r>
    </w:p>
    <w:p>
      <w:pPr>
        <w:pStyle w:val="RISMeta"/>
      </w:pPr>
      <w:r>
        <w:rPr>
          <w:b/>
        </w:rPr>
        <w:t xml:space="preserve">Result: </w:t>
      </w:r>
      <w:r>
        <w:t>Overall band 8.0</w:t>
      </w:r>
    </w:p>
    <w:p>
      <w:pPr>
        <w:pStyle w:val="RISMeta"/>
      </w:pPr>
      <w:r>
        <w:rPr>
          <w:b/>
        </w:rPr>
        <w:t xml:space="preserve">Expired: </w:t>
      </w:r>
      <w:r>
        <w:t>May 2018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Workshops, Seminars &amp; Conferences Attended</w:t>
      </w:r>
    </w:p>
    <w:p>
      <w:pPr>
        <w:pStyle w:val="Heading2"/>
        <w:tabs>
          <w:tab w:pos="9968" w:val="right"/>
        </w:tabs>
      </w:pPr>
      <w:r>
        <w:rPr>
          <w:b/>
        </w:rPr>
        <w:t>Workshop on Efficient Deep Learning for Embedded Vision</w:t>
      </w:r>
      <w:r>
        <w:tab/>
      </w:r>
      <w:r>
        <w:t>Dec 2023</w:t>
      </w:r>
    </w:p>
    <w:p>
      <w:pPr>
        <w:pStyle w:val="RISEntrySub"/>
      </w:pPr>
      <w:r>
        <w:rPr>
          <w:i/>
        </w:rPr>
        <w:t>Example Conference on Instrumentation (ECI 2023)</w:t>
      </w:r>
    </w:p>
    <w:p>
      <w:pPr>
        <w:pStyle w:val="RISMeta"/>
      </w:pPr>
      <w:r>
        <w:rPr>
          <w:b/>
        </w:rPr>
        <w:t xml:space="preserve">Duration: </w:t>
      </w:r>
      <w:r>
        <w:t>2 days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National Seminar on Upper-Air Observing Systems</w:t>
      </w:r>
      <w:r>
        <w:tab/>
      </w:r>
      <w:r>
        <w:t>Aug 2021</w:t>
      </w:r>
    </w:p>
    <w:p>
      <w:pPr>
        <w:pStyle w:val="RISEntrySub"/>
      </w:pPr>
      <w:r>
        <w:rPr>
          <w:i/>
        </w:rPr>
        <w:t>Example Society of Atmospheric Instrumentation</w:t>
      </w:r>
    </w:p>
    <w:p>
      <w:pPr>
        <w:pStyle w:val="RISMeta"/>
      </w:pPr>
      <w:r>
        <w:rPr>
          <w:b/>
        </w:rPr>
        <w:t xml:space="preserve">Duration: </w:t>
      </w:r>
      <w:r>
        <w:t>1 day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Technical Skills</w:t>
      </w:r>
    </w:p>
    <w:p>
      <w:pPr>
        <w:pStyle w:val="RISBarLabel"/>
      </w:pPr>
      <w:r>
        <w:rPr>
          <w:color w:val="1F3A68"/>
        </w:rPr>
        <w:t>Avionics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MIL-STD-1553 / ARINC 429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2" name="Picture 2" descr="MIL-STD-1553 / ARINC 429: 4 of 5 (self-assessed)" title="MIL-STD-1553 / ARINC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Avionics integration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3" name="Picture 3" descr="Avionics integration: 4 of 5 (self-assessed)" title="Avionics integ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Scientific instrumentation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Environmental qualification testing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4" name="Picture 4" descr="Environmental qualification testing: 3 of 5 (self-assessed)" title="Environmental qualification test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Sensor calibration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5" name="Picture 5" descr="Sensor calibration: 3 of 5 (self-assessed)" title="Sensor calib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975"/>
          </w:tcPr>
          <w:p>
            <w:pPr>
              <w:pStyle w:val="RISTableText"/>
            </w:pPr>
            <w:r>
              <w:t>Radiosonde and upper-air systems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6" name="Picture 6" descr="Radiosonde and upper-air systems: 4 of 5 (self-assessed)" title="Radiosonde and upper-air system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/>
          </w:p>
        </w:tc>
        <w:tc>
          <w:tcPr>
            <w:tcW w:type="dxa" w:w="2014"/>
          </w:tcPr>
          <w:p>
            <w:pPr>
              <w:pStyle w:val="RISTableText"/>
            </w:pPr>
            <w:r/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Embedded systems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Embedded C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7" name="Picture 7" descr="Embedded C: 3 of 5 (self-assessed)" title="Embedded C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ESP32 / STM32 microcontrollers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8" name="Picture 8" descr="ESP32 / STM32 microcontrollers: 2 of 5 (self-assessed)" title="ESP32 / STM32 microcontroller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Edge AI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NVIDIA Jetson deployment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9" name="Picture 9" descr="NVIDIA Jetson deployment: 4 of 5 (self-assessed)" title="NVIDIA Jetson deployme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/>
          </w:p>
        </w:tc>
        <w:tc>
          <w:tcPr>
            <w:tcW w:type="dxa" w:w="2014"/>
          </w:tcPr>
          <w:p>
            <w:pPr>
              <w:pStyle w:val="RISTableText"/>
            </w:pPr>
            <w:r/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Drones &amp; UAV systems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UAV payload integration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0" name="Picture 10" descr="UAV payload integration: 3 of 5 (self-assessed)" title="UAV payload integ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/>
          </w:p>
        </w:tc>
        <w:tc>
          <w:tcPr>
            <w:tcW w:type="dxa" w:w="2014"/>
          </w:tcPr>
          <w:p>
            <w:pPr>
              <w:pStyle w:val="RISTableText"/>
            </w:pPr>
            <w:r/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AI / machine learning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PyTorch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1" name="Picture 11" descr="PyTorch: 4 of 5 (self-assessed)" title="PyTorch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Deep learning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2" name="Picture 12" descr="Deep learning: 4 of 5 (self-assessed)" title="Deep learn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IoT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MQTT and Node-RED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3" name="Picture 13" descr="MQTT and Node-RED: 4 of 5 (self-assessed)" title="MQTT and Node-RE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InfluxDB and Grafana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4" name="Picture 14" descr="InfluxDB and Grafana: 3 of 5 (self-assessed)" title="InfluxDB and Grafan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Computer vision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Image super-resolution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5" name="Picture 15" descr="Image super-resolution: 4 of 5 (self-assessed)" title="Image super-resolu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Object detection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6" name="Picture 16" descr="Object detection: 3 of 5 (self-assessed)" title="Object detec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GPU computing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CUDA / GPU computing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7" name="Picture 17" descr="CUDA / GPU computing: 2 of 5 (self-assessed)" title="CUDA / GPU comput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/>
          </w:p>
        </w:tc>
        <w:tc>
          <w:tcPr>
            <w:tcW w:type="dxa" w:w="2014"/>
          </w:tcPr>
          <w:p>
            <w:pPr>
              <w:pStyle w:val="RISTableText"/>
            </w:pPr>
            <w:r/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Model optimisation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TensorRT and ONNX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8" name="Picture 18" descr="TensorRT and ONNX: 4 of 5 (self-assessed)" title="TensorRT and ONN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Pruning and knowledge distillation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9" name="Picture 19" descr="Pruning and knowledge distillation: 4 of 5 (self-assessed)" title="Pruning and knowledge distill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Software &amp; tools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Python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20" name="Picture 20" descr="Python: 4 of 5 (self-assessed)" title="Pyth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Docker and Linux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21" name="Picture 21" descr="Docker and Linux: 3 of 5 (self-assessed)" title="Docker and Linu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Technical leadership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Team leadership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22" name="Picture 22" descr="Team leadership: 3 of 5 (self-assessed)" title="Team leadershi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/>
          </w:p>
        </w:tc>
        <w:tc>
          <w:tcPr>
            <w:tcW w:type="dxa" w:w="2014"/>
          </w:tcPr>
          <w:p>
            <w:pPr>
              <w:pStyle w:val="RISTableText"/>
            </w:pPr>
            <w:r/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Procurement &amp; administration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Technical procurement (GeM, GFR)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23" name="Picture 23" descr="Technical procurement (GeM, GFR): 3 of 5 (self-assessed)" title="Technical procurement (GeM, GF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/>
          </w:p>
        </w:tc>
        <w:tc>
          <w:tcPr>
            <w:tcW w:type="dxa" w:w="2014"/>
          </w:tcPr>
          <w:p>
            <w:pPr>
              <w:pStyle w:val="RISTableText"/>
            </w:pPr>
            <w:r/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Meta"/>
      </w:pPr>
      <w:r>
        <w:rPr>
          <w:i/>
        </w:rPr>
        <w:t>Bars show my own assessment of proficiency (five steps; five = expert).</w:t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Referees</w:t>
      </w:r>
    </w:p>
    <w:p>
      <w:pPr>
        <w:pStyle w:val="Heading2"/>
      </w:pPr>
      <w:r>
        <w:rPr>
          <w:b/>
        </w:rPr>
        <w:t>Dr. R. Iyer (fictional)</w:t>
      </w:r>
    </w:p>
    <w:p>
      <w:pPr>
        <w:pStyle w:val="RISEntrySub"/>
      </w:pPr>
      <w:r>
        <w:rPr>
          <w:i/>
        </w:rPr>
        <w:t>Professor of Electronics, Example Institute of Technology</w:t>
      </w:r>
    </w:p>
    <w:p>
      <w:pPr>
        <w:pStyle w:val="RISBody"/>
      </w:pPr>
      <w:r>
        <w:t>Research collaborator and co-author</w:t>
      </w:r>
    </w:p>
    <w:p>
      <w:pPr>
        <w:pStyle w:val="RISMeta"/>
      </w:pPr>
      <w:r>
        <w:rPr>
          <w:b/>
        </w:rPr>
        <w:t xml:space="preserve">Email: </w:t>
      </w:r>
      <w:r>
        <w:t>r.iyer@example.org</w:t>
      </w:r>
    </w:p>
    <w:p>
      <w:pPr>
        <w:pStyle w:val="RISMeta"/>
      </w:pPr>
      <w:r>
        <w:rPr>
          <w:b/>
        </w:rPr>
        <w:t xml:space="preserve">Telephone: </w:t>
      </w:r>
      <w:r>
        <w:t>+91 00000 54321</w:t>
      </w:r>
    </w:p>
    <w:p>
      <w:pPr>
        <w:spacing w:before="0" w:after="0" w:lineRule="exact" w:line="100"/>
      </w:pPr>
      <w:r>
        <w:rPr>
          <w:sz w:val="2"/>
        </w:rPr>
      </w:r>
    </w:p>
    <w:sectPr w:rsidR="00FC693F" w:rsidRPr="0006063C" w:rsidSect="00034616">
      <w:footerReference w:type="default" r:id="rId19"/>
      <w:pgSz w:w="11906" w:h="16838"/>
      <w:pgMar w:top="794" w:right="964" w:bottom="850" w:left="964" w:header="397" w:footer="3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78" w:val="right"/>
      </w:tabs>
      <w:spacing w:before="0" w:after="0"/>
    </w:pPr>
    <w:r>
      <w:rPr>
        <w:rFonts w:ascii="Calibri" w:hAnsi="Calibri" w:eastAsia="Calibri" w:cs="Calibri"/>
        <w:color w:val="4E566B"/>
        <w:sz w:val="16"/>
      </w:rPr>
      <w:t>Dr. Anika Sharma</w:t>
    </w:r>
    <w:r>
      <w:rPr>
        <w:rFonts w:ascii="Calibri" w:hAnsi="Calibri" w:eastAsia="Calibri" w:cs="Calibri"/>
        <w:color w:val="4E566B"/>
        <w:sz w:val="16"/>
      </w:rPr>
      <w:tab/>
    </w:r>
    <w:r>
      <w:rPr>
        <w:rFonts w:ascii="Calibri" w:hAnsi="Calibri" w:eastAsia="Calibri" w:cs="Calibri"/>
        <w:color w:val="4E566B"/>
        <w:sz w:val="16"/>
      </w:rPr>
      <w:t xml:space="preserve">Page </w:t>
    </w:r>
    <w:r>
      <w:rPr>
        <w:rFonts w:ascii="Calibri" w:hAnsi="Calibri" w:eastAsia="Calibri" w:cs="Calibri"/>
        <w:color w:val="4E566B"/>
        <w:sz w:val="16"/>
      </w:rPr>
      <w:fldChar w:fldCharType="begin"/>
    </w:r>
    <w:r>
      <w:rPr>
        <w:rFonts w:ascii="Calibri" w:hAnsi="Calibri" w:eastAsia="Calibri" w:cs="Calibri"/>
        <w:color w:val="4E566B"/>
        <w:sz w:val="16"/>
      </w:rPr>
      <w:instrText xml:space="preserve"> PAGE </w:instrText>
    </w:r>
    <w:r>
      <w:rPr>
        <w:rFonts w:ascii="Calibri" w:hAnsi="Calibri" w:eastAsia="Calibri" w:cs="Calibri"/>
        <w:color w:val="4E566B"/>
        <w:sz w:val="16"/>
      </w:rPr>
      <w:fldChar w:fldCharType="separate"/>
    </w:r>
    <w:r>
      <w:rPr>
        <w:rFonts w:ascii="Calibri" w:hAnsi="Calibri" w:eastAsia="Calibri" w:cs="Calibri"/>
        <w:color w:val="4E566B"/>
        <w:sz w:val="16"/>
      </w:rPr>
      <w:t>1</w:t>
    </w:r>
    <w:r>
      <w:rPr>
        <w:rFonts w:ascii="Calibri" w:hAnsi="Calibri" w:eastAsia="Calibri" w:cs="Calibri"/>
        <w:color w:val="4E566B"/>
        <w:sz w:val="16"/>
      </w:rPr>
      <w:fldChar w:fldCharType="end"/>
    </w:r>
    <w:r>
      <w:rPr>
        <w:rFonts w:ascii="Calibri" w:hAnsi="Calibri" w:eastAsia="Calibri" w:cs="Calibri"/>
        <w:color w:val="4E566B"/>
        <w:sz w:val="16"/>
      </w:rPr>
      <w:t xml:space="preserve"> of </w:t>
    </w:r>
    <w:r>
      <w:rPr>
        <w:rFonts w:ascii="Calibri" w:hAnsi="Calibri" w:eastAsia="Calibri" w:cs="Calibri"/>
        <w:color w:val="4E566B"/>
        <w:sz w:val="16"/>
      </w:rPr>
      <w:fldChar w:fldCharType="begin"/>
    </w:r>
    <w:r>
      <w:rPr>
        <w:rFonts w:ascii="Calibri" w:hAnsi="Calibri" w:eastAsia="Calibri" w:cs="Calibri"/>
        <w:color w:val="4E566B"/>
        <w:sz w:val="16"/>
      </w:rPr>
      <w:instrText xml:space="preserve"> NUMPAGES </w:instrText>
    </w:r>
    <w:r>
      <w:rPr>
        <w:rFonts w:ascii="Calibri" w:hAnsi="Calibri" w:eastAsia="Calibri" w:cs="Calibri"/>
        <w:color w:val="4E566B"/>
        <w:sz w:val="16"/>
      </w:rPr>
      <w:fldChar w:fldCharType="separate"/>
    </w:r>
    <w:r>
      <w:rPr>
        <w:rFonts w:ascii="Calibri" w:hAnsi="Calibri" w:eastAsia="Calibri" w:cs="Calibri"/>
        <w:color w:val="4E566B"/>
        <w:sz w:val="16"/>
      </w:rPr>
      <w:t>1</w:t>
    </w:r>
    <w:r>
      <w:rPr>
        <w:rFonts w:ascii="Calibri" w:hAnsi="Calibri" w:eastAsia="Calibri" w:cs="Calibri"/>
        <w:color w:val="4E566B"/>
        <w:sz w:val="16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4E566B"/>
        <w:sz w:val="16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▸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80" w:lineRule="auto" w:line="240"/>
      <w:ind w:left="0" w:firstLine="0"/>
      <w:jc w:val="left"/>
      <w:outlineLvl w:val="0"/>
    </w:pPr>
    <w:rPr>
      <w:rFonts w:ascii="Cambria" w:hAnsi="Cambria" w:eastAsia="Cambria" w:cs="Cambria"/>
      <w:b/>
      <w:bCs/>
      <w:i w:val="0"/>
      <w:caps w:val="0"/>
      <w:smallCaps/>
      <w:color w:val="1F3A68"/>
      <w:sz w:val="24"/>
      <w:szCs w:val="28"/>
      <w:u w:val="none"/>
      <w:lang w:val="en-IN"/>
      <w:spacing w:val="1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9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B2030"/>
      <w:sz w:val="20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40" w:line="240" w:lineRule="auto" w:before="0"/>
      <w:ind w:left="0" w:firstLine="0"/>
      <w:contextualSpacing/>
      <w:jc w:val="left"/>
    </w:pPr>
    <w:rPr>
      <w:rFonts w:ascii="Cambria" w:hAnsi="Cambria" w:eastAsia="Cambria" w:cs="Cambria"/>
      <w:b/>
      <w:i w:val="0"/>
      <w:caps w:val="0"/>
      <w:smallCaps w:val="0"/>
      <w:color w:val="1F3A68"/>
      <w:spacing w:val="5"/>
      <w:kern w:val="28"/>
      <w:sz w:val="46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12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B2030"/>
      <w:sz w:val="27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6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E566B"/>
      <w:sz w:val="22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F3A68"/>
      <w:sz w:val="24"/>
      <w:u w:val="none"/>
      <w:lang w:val="en-IN"/>
      <w:spacing w:val="12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2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E566B"/>
      <w:sz w:val="20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E566B"/>
      <w:sz w:val="17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40" w:after="0" w:lineRule="auto" w:line="259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4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40" w:lineRule="auto" w:line="266"/>
      <w:ind w:left="0" w:firstLine="0"/>
      <w:jc w:val="both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20" w:lineRule="auto" w:line="259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E566B"/>
      <w:sz w:val="17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6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80" w:after="60" w:lineRule="auto" w:line="240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F3A68"/>
      <w:sz w:val="23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30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40" w:lineRule="auto" w:line="240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FFFFFF"/>
      <w:sz w:val="46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2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8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80" w:lineRule="auto" w:line="271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F3A68"/>
      <w:sz w:val="20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24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F3A68"/>
      <w:sz w:val="38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4E566B"/>
      <w:sz w:val="16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9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1F3A68"/>
      <w:sz w:val="21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6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B2030"/>
      <w:sz w:val="18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orcid.org/0000-0002-1825-0097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doi.org/10.5555/jevs.2024.0123" TargetMode="External"/><Relationship Id="rId15" Type="http://schemas.openxmlformats.org/officeDocument/2006/relationships/hyperlink" Target="https://doi.org/10.5555/ejai.2021.0042" TargetMode="Externa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Research portfolio</dc:title>
  <dc:subject>Defence R&amp;D — avionics and sensors</dc:subject>
  <dc:creator>Dr. Anika Sharma</dc:creator>
  <cp:keywords>Edge AI, UAV / drone systems, Sensors, Embedded systems, Test &amp; evaluation, Avionics, Electronics engineering, Signal processing, Avionics standards, Flight testing, Systems engineering, Artificial intelligence</cp:keywords>
  <dc:description>Resume Intelligence Studio 1.2.0</dc:description>
  <cp:lastModifiedBy>Dr. Anika Sharma</cp:lastModifiedBy>
  <cp:revision>1</cp:revision>
  <dcterms:created xsi:type="dcterms:W3CDTF">2026-10-25T14:11:57Z</dcterms:created>
  <dcterms:modified xsi:type="dcterms:W3CDTF">2026-10-25T14:11:57Z</dcterms:modified>
  <cp:category>Resume</cp:category>
  <dc:language>en-IN</dc:language>
</cp:coreProperties>
</file>