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spacing w:before="0" w:after="0" w:lineRule="exact" w:line="42"/>
      </w:pPr>
      <w:r>
        <w:rPr>
          <w:sz w:val="2"/>
        </w:rPr>
      </w:r>
    </w:p>
    <w:tbl>
      <w:tblPr>
        <w:tblW w:type="dxa" w:w="1043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34"/>
        <w:gridCol w:w="7198"/>
      </w:tblGrid>
      <w:tr>
        <w:tc>
          <w:tcPr>
            <w:tcW w:type="dxa" w:w="3234"/>
            <w:tcMar>
              <w:left w:w="120" w:type="dxa"/>
              <w:right w:w="290" w:type="dxa"/>
              <w:top w:w="0" w:type="dxa"/>
              <w:bottom w:w="0" w:type="dxa"/>
            </w:tcMar>
            <w:shd w:val="clear" w:color="auto" w:fill="EEF2F6"/>
          </w:tcPr>
          <w:p>
            <w:pPr>
              <w:pStyle w:val="RISSidebarHeading"/>
              <w:keepNext w:val="0"/>
            </w:pPr>
            <w:r>
              <w:t>CONTACT</w:t>
            </w:r>
          </w:p>
          <w:p>
            <w:pPr>
              <w:pStyle w:val="RISSidebarText"/>
              <w:keepNext w:val="0"/>
            </w:pPr>
            <w:hyperlink r:id="rId9" w:history="1">
              <w:r>
                <w:rPr>
                  <w:color w:val="2D3E50"/>
                </w:rPr>
                <w:t>anika.sharma@example.org</w:t>
              </w:r>
            </w:hyperlink>
          </w:p>
          <w:p>
            <w:pPr>
              <w:pStyle w:val="RISSidebarText"/>
              <w:keepNext w:val="0"/>
            </w:pPr>
            <w:hyperlink r:id="rId10" w:history="1">
              <w:r>
                <w:rPr>
                  <w:color w:val="2D3E50"/>
                </w:rPr>
                <w:t>+91 00000 12345</w:t>
              </w:r>
            </w:hyperlink>
          </w:p>
          <w:p>
            <w:pPr>
              <w:pStyle w:val="RISSidebarText"/>
              <w:keepNext w:val="0"/>
            </w:pPr>
            <w:r>
              <w:t>New Delhi, India</w:t>
            </w:r>
          </w:p>
          <w:p>
            <w:pPr>
              <w:pStyle w:val="RISSidebarText"/>
              <w:keepNext w:val="0"/>
            </w:pPr>
            <w:hyperlink r:id="rId11" w:history="1">
              <w:r>
                <w:rPr>
                  <w:color w:val="2D3E50"/>
                </w:rPr>
                <w:t>github.com/anika-sharma-example</w:t>
              </w:r>
            </w:hyperlink>
          </w:p>
          <w:p>
            <w:pPr>
              <w:pStyle w:val="RISSidebarText"/>
              <w:keepNext w:val="0"/>
            </w:pPr>
            <w:hyperlink r:id="rId12" w:history="1">
              <w:r>
                <w:rPr>
                  <w:color w:val="2D3E50"/>
                  <w:sz w:val="17"/>
                </w:rPr>
                <w:t>linkedin.com/in/anika-sharma-example</w:t>
              </w:r>
            </w:hyperlink>
          </w:p>
          <w:p>
            <w:pPr>
              <w:pStyle w:val="RISSidebarText"/>
              <w:keepNext w:val="0"/>
            </w:pPr>
            <w:hyperlink r:id="rId13" w:history="1">
              <w:r>
                <w:rPr>
                  <w:color w:val="2D3E50"/>
                </w:rPr>
                <w:t>anika-sharma.example.org</w:t>
              </w:r>
            </w:hyperlink>
          </w:p>
          <w:p>
            <w:pPr>
              <w:pStyle w:val="RISSidebarHeading"/>
              <w:keepNext w:val="0"/>
            </w:pPr>
            <w:r>
              <w:t>TECHNICAL SKILLS</w:t>
            </w:r>
          </w:p>
          <w:p>
            <w:pPr>
              <w:pStyle w:val="RISSidebarTitle"/>
              <w:keepNext w:val="0"/>
            </w:pPr>
            <w:r>
              <w:t>Avionics</w:t>
            </w:r>
          </w:p>
          <w:p>
            <w:pPr>
              <w:pStyle w:val="RISSidebarText"/>
              <w:keepNext w:val="0"/>
            </w:pPr>
            <w:r>
              <w:t>MIL-STD-1553 / ARINC 429, Avionics integration</w:t>
            </w:r>
          </w:p>
          <w:p>
            <w:pPr>
              <w:pStyle w:val="RISSidebarTitle"/>
              <w:keepNext w:val="0"/>
            </w:pPr>
            <w:r>
              <w:t>Scientific instrumentation</w:t>
            </w:r>
          </w:p>
          <w:p>
            <w:pPr>
              <w:pStyle w:val="RISSidebarText"/>
              <w:keepNext w:val="0"/>
            </w:pPr>
            <w:r>
              <w:t>Environmental qualification testing, Sensor calibration, Radiosonde and upper-air systems</w:t>
            </w:r>
          </w:p>
          <w:p>
            <w:pPr>
              <w:pStyle w:val="RISSidebarTitle"/>
              <w:keepNext w:val="0"/>
            </w:pPr>
            <w:r>
              <w:t>Embedded systems</w:t>
            </w:r>
          </w:p>
          <w:p>
            <w:pPr>
              <w:pStyle w:val="RISSidebarText"/>
              <w:keepNext w:val="0"/>
            </w:pPr>
            <w:r>
              <w:t>Embedded C, ESP32 / STM32 microcontrollers</w:t>
            </w:r>
          </w:p>
          <w:p>
            <w:pPr>
              <w:pStyle w:val="RISSidebarTitle"/>
              <w:keepNext w:val="0"/>
            </w:pPr>
            <w:r>
              <w:t>Computer vision</w:t>
            </w:r>
          </w:p>
          <w:p>
            <w:pPr>
              <w:pStyle w:val="RISSidebarText"/>
              <w:keepNext w:val="0"/>
            </w:pPr>
            <w:r>
              <w:t>Image super-resolution, Object detection</w:t>
            </w:r>
          </w:p>
          <w:p>
            <w:pPr>
              <w:pStyle w:val="RISSidebarTitle"/>
              <w:keepNext w:val="0"/>
            </w:pPr>
            <w:r>
              <w:t>Drones &amp; UAV systems</w:t>
            </w:r>
          </w:p>
          <w:p>
            <w:pPr>
              <w:pStyle w:val="RISSidebarText"/>
              <w:keepNext w:val="0"/>
            </w:pPr>
            <w:r>
              <w:t>UAV payload integration</w:t>
            </w:r>
          </w:p>
          <w:p>
            <w:pPr>
              <w:pStyle w:val="RISSidebarTitle"/>
              <w:keepNext w:val="0"/>
            </w:pPr>
            <w:r>
              <w:t>Edge AI</w:t>
            </w:r>
          </w:p>
          <w:p>
            <w:pPr>
              <w:pStyle w:val="RISSidebarText"/>
              <w:keepNext w:val="0"/>
            </w:pPr>
            <w:r>
              <w:t>NVIDIA Jetson deployment</w:t>
            </w:r>
          </w:p>
          <w:p>
            <w:pPr>
              <w:pStyle w:val="RISSidebarTitle"/>
              <w:keepNext w:val="0"/>
            </w:pPr>
            <w:r>
              <w:t>AI / machine learning</w:t>
            </w:r>
          </w:p>
          <w:p>
            <w:pPr>
              <w:pStyle w:val="RISSidebarText"/>
              <w:keepNext w:val="0"/>
            </w:pPr>
            <w:r>
              <w:t>Deep learning, PyTorch</w:t>
            </w:r>
          </w:p>
          <w:p>
            <w:pPr>
              <w:pStyle w:val="RISSidebarHeading"/>
              <w:keepNext w:val="0"/>
            </w:pPr>
            <w:r>
              <w:t>EDUCATION</w:t>
            </w:r>
          </w:p>
          <w:p>
            <w:pPr>
              <w:pStyle w:val="RISSidebarTitle"/>
              <w:keepNext w:val="0"/>
            </w:pPr>
            <w:r>
              <w:t>Ph.D., Electrical and Electronics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2021 – ongoing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M.Tech., Avionics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Coastal Institute of Aeronautical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2010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B.E., Electronics and Communication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Technology, Northfield University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2004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Heading"/>
              <w:keepNext w:val="0"/>
            </w:pPr>
            <w:r>
              <w:t>CERTIFICATIONS &amp; TRAINING</w:t>
            </w:r>
          </w:p>
          <w:p>
            <w:pPr>
              <w:pStyle w:val="RISSidebarTitle"/>
              <w:keepNext w:val="0"/>
            </w:pPr>
            <w:r>
              <w:t>Deep Learning for Edge Devices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Academy of Applied Computing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Mar 2022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Workshop on Efficient Deep Learning for Embedded Vision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Conference on Instrumentation (ECI 2023)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Dec 2023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Introduction to Machine Learning (12-week course)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Online University Consortium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Oct 2018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Public Procurement and GFR 2017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Institute of Public Administration (sponsored by Kestrel Atmospheric Instrumentation Laboratory)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Nov 2019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National Seminar on Upper-Air Observing Systems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Society of Atmospheric Instrumentation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Aug 2021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</w:tc>
        <w:tc>
          <w:tcPr>
            <w:tcW w:type="dxa" w:w="7198"/>
            <w:tcMar>
              <w:left w:w="170" w:type="dxa"/>
              <w:right w:w="0" w:type="dxa"/>
              <w:top w:w="0" w:type="dxa"/>
              <w:bottom w:w="0" w:type="dxa"/>
            </w:tcMar>
          </w:tcPr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PROFESSIONAL SUMMARY</w:t>
            </w:r>
          </w:p>
          <w:p>
            <w:pPr>
              <w:pStyle w:val="RISSummary"/>
              <w:keepNext w:val="0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PROFESSIONAL EXPERIENCE</w:t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Upper Air Instrumentation Division, Kestrel Atmospheric Instrumentation Laboratory, New Delhi</w:t>
            </w:r>
          </w:p>
          <w:p>
            <w:pPr>
              <w:pStyle w:val="RISBody"/>
              <w:keepNext w:val="0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Python, PyTorch, MQTT, Node-RED, InfluxDB, Grafana, Docker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Prepared technical specifications and served on bid-evaluation committees for instrument procurement through the Government e-Marketplace in line with the General Financial Rules.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Authored standard operating procedures for pre-flight checks and calibration of upper-air instruments used across the division.</w:t>
            </w:r>
          </w:p>
          <w:p>
            <w:pPr>
              <w:pStyle w:val="RISChildTitle"/>
              <w:keepNext w:val="0"/>
              <w:tabs>
                <w:tab w:pos="7018" w:val="right"/>
              </w:tabs>
              <w:ind w:left="255"/>
            </w:pPr>
            <w:r>
              <w:rPr>
                <w:i/>
                <w:color w:val="53606C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keepNext w:val="0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Supervise technicians and plan preventive maintenance for workshop test equipment.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Introduced a job-card and spares-inventory system for instrument repairs and calibration work.</w:t>
            </w:r>
          </w:p>
          <w:p>
            <w:pPr>
              <w:pStyle w:val="RISChildTitle"/>
              <w:keepNext w:val="0"/>
              <w:tabs>
                <w:tab w:pos="7018" w:val="right"/>
              </w:tabs>
              <w:ind w:left="255"/>
            </w:pPr>
            <w:r>
              <w:rPr>
                <w:i/>
                <w:color w:val="53606C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Avionics Integration Group, Halcyon Avionics Design Bureau, Bengaluru</w:t>
            </w:r>
          </w:p>
          <w:p>
            <w:pPr>
              <w:pStyle w:val="RISBody"/>
              <w:keepNext w:val="0"/>
            </w:pPr>
            <w:r>
              <w:t>Integration and qualification testing of airborne electronics and UAV payloads.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MIL-STD-1553, ARINC 429, LabVIEW, C, MATLAB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Integrated mission-computer and display units on MIL-STD-1553 avionics buses and built the automated test rig used for bench validation.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Planned environmental qualification (MIL-STD-810 vibration, temperature and humidity) for line-replaceable units and documented the test results.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Test Systems Group, Meridian Electronics Limited, Bengaluru</w:t>
            </w:r>
          </w:p>
          <w:p>
            <w:pPr>
              <w:pStyle w:val="RISBody"/>
              <w:keepNext w:val="0"/>
            </w:pPr>
            <w:r>
              <w:t>Built automated test equipment for avionics line-replaceable units.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LabVIEW, C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KEY PROJECTS</w:t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Edge super-resolution pipeline for UAV imagery</w:t>
            </w:r>
            <w:r>
              <w:rPr>
                <w:i/>
                <w:color w:val="53606C"/>
              </w:rPr>
              <w:t xml:space="preserve"> (Ongoing)</w:t>
            </w:r>
            <w:r>
              <w:tab/>
            </w:r>
            <w:r>
              <w:t>Sep 2021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  <w:keepNext w:val="0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Radiosonde ground-station acceptance test protocol</w:t>
            </w:r>
            <w:r>
              <w:tab/>
            </w:r>
            <w:r>
              <w:t>Jan 2018 – Mar 2019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Coordinator</w:t>
            </w:r>
          </w:p>
          <w:p>
            <w:pPr>
              <w:pStyle w:val="RISBody"/>
              <w:keepNext w:val="0"/>
            </w:pPr>
            <w:r>
              <w:t>Station acceptance testing varied between sites.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A common acceptance protocol and checklist adopted for new ground-receiving systems.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IoT monitoring of laboratory infrastructure</w:t>
            </w:r>
            <w:r>
              <w:tab/>
            </w:r>
            <w:r>
              <w:t>Feb 2020 – Jun 2022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Project lead</w:t>
            </w:r>
          </w:p>
          <w:p>
            <w:pPr>
              <w:pStyle w:val="RISBody"/>
              <w:keepNext w:val="0"/>
            </w:pPr>
            <w:r>
              <w:t>Instrument rooms lacked continuous environmental and power-quality monitoring.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Technologies: </w:t>
            </w:r>
            <w:r>
              <w:t>ESP32, Environmental sensors, MQTT, Node-RED, InfluxDB, Grafana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Deployed ESP32 sensor nodes publishing over MQTT to a Node-RED flow, InfluxDB time-series storage and Grafana dashboards with threshold alerts.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Continuous monitoring with automated alerts replaced manual twice-daily readings.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PUBLICATIONS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[3]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“Channel-pruned residual networks for real-time aerial image enhancement on embedded GPUs,” Journal of Embedded Vision Systems, vol. 12, no. 3, pp. 45-58, Mar 2024.</w:t>
            </w:r>
            <w:hyperlink r:id="rId14" w:history="1">
              <w:r>
                <w:rPr>
                  <w:color w:val="2D3E50"/>
                </w:rPr>
                <w:t xml:space="preserve"> doi: 10.5555/jevs.2024.0123</w:t>
              </w:r>
            </w:hyperlink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[4]</w:t>
            </w:r>
            <w:r>
              <w:tab/>
            </w:r>
            <w:r>
              <w:rPr>
                <w:b/>
              </w:rPr>
              <w:t>A. Sharma</w:t>
            </w:r>
            <w:r>
              <w:t>, P. Rao and S. Gill</w:t>
            </w:r>
            <w:r>
              <w:t xml:space="preserve">, </w:t>
            </w:r>
            <w:r>
              <w:t>“An IoT telemetry framework for upper-air ground stations,” Proceedings of the Example Conference on Instrumentation (ECI 2023), pp. 112-117, Sep 2023.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[5]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S. Verma</w:t>
            </w:r>
            <w:r>
              <w:t xml:space="preserve">, </w:t>
            </w:r>
            <w:r>
              <w:t>“Edge telemetry dashboards for upper-air ground stations,” Proceedings of the Example Conference on Instrumentation, Paper 17, Feb 2022.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[6]</w:t>
            </w:r>
            <w:r>
              <w:tab/>
            </w:r>
            <w:r>
              <w:rPr>
                <w:b/>
              </w:rPr>
              <w:t>A. Sharma</w:t>
            </w:r>
            <w:r>
              <w:t>, P. Menon and R. Iyer</w:t>
            </w:r>
            <w:r>
              <w:t xml:space="preserve">, </w:t>
            </w:r>
            <w:r>
              <w:t>“A low-cost GNSS receiver chain for radiosonde tracking,” Example Journal of Atmospheric Instrumentation, vol. 8, no. 2, pp. 101-112, Jun 2021.</w:t>
            </w:r>
            <w:hyperlink r:id="rId15" w:history="1">
              <w:r>
                <w:rPr>
                  <w:color w:val="2D3E50"/>
                </w:rPr>
                <w:t xml:space="preserve"> doi: 10.5555/ejai.2021.0042</w:t>
              </w:r>
            </w:hyperlink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MANUSCRIPTS UNDER REVIEW / IN PREPARATION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>, M. Khan and R. Iyer</w:t>
            </w:r>
            <w:r>
              <w:t xml:space="preserve">, </w:t>
            </w:r>
            <w:r>
              <w:t>“Detection-aware quality assessment of super-resolved drone images,” under review at Example Transactions on Geoscience Imaging.</w:t>
            </w:r>
            <w:r>
              <w:rPr>
                <w:i/>
                <w:color w:val="53606C"/>
              </w:rPr>
              <w:t xml:space="preserve"> [Under review]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, </w:t>
            </w:r>
            <w:r>
              <w:t>“Simulation study of balloon-released gliding sondes,” in preparation.</w:t>
            </w:r>
            <w:r>
              <w:rPr>
                <w:i/>
                <w:color w:val="53606C"/>
              </w:rPr>
              <w:t xml:space="preserve"> [In preparation]</w:t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AWARDS &amp; HONOURS</w:t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Example Conference on Instrumentation (ECI 2023)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sectPr w:rsidR="00FC693F" w:rsidRPr="0006063C" w:rsidSect="00034616">
      <w:footerReference w:type="default" r:id="rId16"/>
      <w:pgSz w:w="11906" w:h="16838"/>
      <w:pgMar w:top="737" w:right="737" w:bottom="737" w:left="737" w:header="369" w:footer="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431" w:val="right"/>
      </w:tabs>
      <w:spacing w:before="0" w:after="0"/>
    </w:pPr>
    <w:r>
      <w:rPr>
        <w:rFonts w:ascii="Calibri" w:hAnsi="Calibri" w:eastAsia="Calibri" w:cs="Calibri"/>
        <w:color w:val="53606C"/>
        <w:sz w:val="16"/>
      </w:rPr>
      <w:tab/>
    </w:r>
    <w:r>
      <w:rPr>
        <w:rFonts w:ascii="Calibri" w:hAnsi="Calibri" w:eastAsia="Calibri" w:cs="Calibri"/>
        <w:color w:val="53606C"/>
        <w:sz w:val="16"/>
      </w:rPr>
      <w:fldChar w:fldCharType="begin"/>
    </w:r>
    <w:r>
      <w:rPr>
        <w:rFonts w:ascii="Calibri" w:hAnsi="Calibri" w:eastAsia="Calibri" w:cs="Calibri"/>
        <w:color w:val="53606C"/>
        <w:sz w:val="16"/>
      </w:rPr>
      <w:instrText xml:space="preserve"> PAGE </w:instrText>
    </w:r>
    <w:r>
      <w:rPr>
        <w:rFonts w:ascii="Calibri" w:hAnsi="Calibri" w:eastAsia="Calibri" w:cs="Calibri"/>
        <w:color w:val="53606C"/>
        <w:sz w:val="16"/>
      </w:rPr>
      <w:fldChar w:fldCharType="separate"/>
    </w:r>
    <w:r>
      <w:rPr>
        <w:rFonts w:ascii="Calibri" w:hAnsi="Calibri" w:eastAsia="Calibri" w:cs="Calibri"/>
        <w:color w:val="53606C"/>
        <w:sz w:val="16"/>
      </w:rPr>
      <w:t>1</w:t>
    </w:r>
    <w:r>
      <w:rPr>
        <w:rFonts w:ascii="Calibri" w:hAnsi="Calibri" w:eastAsia="Calibri" w:cs="Calibri"/>
        <w:color w:val="53606C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53606C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6" w:after="56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2D3E50"/>
      <w:sz w:val="22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D232A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2D3E50"/>
      <w:spacing w:val="5"/>
      <w:kern w:val="28"/>
      <w:sz w:val="4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D232A"/>
      <w:sz w:val="25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23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D3E50"/>
      <w:sz w:val="22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20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D3E50"/>
      <w:sz w:val="21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3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D3E50"/>
      <w:sz w:val="20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2D3E50"/>
      <w:sz w:val="36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53606C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2D3E50"/>
      <w:sz w:val="21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D232A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github.com/anika-sharma-example" TargetMode="External"/><Relationship Id="rId12" Type="http://schemas.openxmlformats.org/officeDocument/2006/relationships/hyperlink" Target="https://www.linkedin.com/in/anika-sharma-example" TargetMode="External"/><Relationship Id="rId13" Type="http://schemas.openxmlformats.org/officeDocument/2006/relationships/hyperlink" Target="https://anika-sharma.example.org" TargetMode="External"/><Relationship Id="rId14" Type="http://schemas.openxmlformats.org/officeDocument/2006/relationships/hyperlink" Target="https://doi.org/10.5555/jevs.2024.0123" TargetMode="External"/><Relationship Id="rId15" Type="http://schemas.openxmlformats.org/officeDocument/2006/relationships/hyperlink" Target="https://doi.org/10.5555/ejai.2021.0042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Technical specialist resume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2026-10-25T09:39:49Z</dcterms:created>
  <dcterms:modified xsi:type="dcterms:W3CDTF">2026-10-25T09:39:49Z</dcterms:modified>
  <cp:category>Resume</cp:category>
  <dc:language>en-IN</dc:language>
</cp:coreProperties>
</file>