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333F48"/>
          </w:rPr>
          <w:t>anika.sharma@example.org</w:t>
        </w:r>
      </w:hyperlink>
      <w:r>
        <w:rPr>
          <w:color w:val="4C545C"/>
        </w:rPr>
        <w:t xml:space="preserve"> | </w:t>
      </w:r>
      <w:hyperlink r:id="rId10" w:history="1">
        <w:r>
          <w:rPr>
            <w:color w:val="333F48"/>
          </w:rPr>
          <w:t>+91 00000 12345</w:t>
        </w:r>
      </w:hyperlink>
      <w:r>
        <w:rPr>
          <w:color w:val="4C545C"/>
        </w:rPr>
        <w:t xml:space="preserve"> | </w:t>
      </w:r>
      <w:r>
        <w:t>New Delhi, India</w:t>
      </w:r>
      <w:r>
        <w:rPr>
          <w:color w:val="4C545C"/>
        </w:rPr>
        <w:t xml:space="preserve"> | </w:t>
      </w:r>
      <w:hyperlink r:id="rId11" w:history="1">
        <w:r>
          <w:rPr>
            <w:color w:val="333F48"/>
          </w:rPr>
          <w:t>linkedin.com/in/anika-sharma-example</w:t>
        </w:r>
      </w:hyperlink>
      <w:r>
        <w:rPr>
          <w:color w:val="4C545C"/>
        </w:rPr>
        <w:t xml:space="preserve"> | </w:t>
      </w:r>
      <w:hyperlink r:id="rId12" w:history="1">
        <w:r>
          <w:rPr>
            <w:color w:val="333F48"/>
          </w:rPr>
          <w:t>anika-sharma.example.org</w:t>
        </w:r>
      </w:hyperlink>
    </w:p>
    <w:p>
      <w:pPr>
        <w:pBdr>
          <w:bottom w:val="single" w:sz="6" w:space="0" w:color="333F48"/>
        </w:pBdr>
        <w:spacing w:before="42" w:after="56" w:lineRule="exact" w:line="20"/>
      </w:pPr>
    </w:p>
    <w:p>
      <w:pPr>
        <w:pStyle w:val="Heading1"/>
        <w:pBdr>
          <w:bottom w:val="single" w:sz="4" w:space="2" w:color="333F48"/>
        </w:pBdr>
      </w:pPr>
      <w:r>
        <w:t>PROFESSIONAL SUMMARY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4" w:space="2" w:color="333F48"/>
        </w:pBdr>
      </w:pPr>
      <w:r>
        <w:t>CORE COMPETENCIES</w:t>
      </w:r>
    </w:p>
    <w:p>
      <w:pPr>
        <w:pStyle w:val="RISBody"/>
      </w:pPr>
      <w:r>
        <w:t>Avionics (MIL-STD-1553 / ARINC 429, Avionics integration) · Scientific instrumentation (Environmental qualification testing, Sensor calibration, Radiosonde and upper-air systems) · Embedded systems (Embedded C, ESP32 / STM32 microcontrollers) · Computer vision (Image super-resolution, Object detection) · Drones &amp; UAV systems (UAV payload integration) · Edge AI (NVIDIA Jetson deployment) · AI / machine learning (Deep learning, PyTorch) · Procurement &amp; administration (Technical procurement (GeM, GFR)) · IoT (MQTT and Node-RED, InfluxDB and Grafana) · Model optimisation (TensorRT and ONNX, Pruning and knowledge distillation) · Software &amp; tools (Python, Docker and Linux) · Technical leadership (Team leadership)</w:t>
      </w:r>
    </w:p>
    <w:p>
      <w:pPr>
        <w:pStyle w:val="Heading1"/>
        <w:pBdr>
          <w:bottom w:val="single" w:sz="4" w:space="2" w:color="333F48"/>
        </w:pBdr>
      </w:pPr>
      <w:r>
        <w:t>PROFESSIONAL EXPERIENCE</w:t>
      </w:r>
    </w:p>
    <w:p>
      <w:pPr>
        <w:pStyle w:val="Heading2"/>
      </w:pPr>
      <w:r>
        <w:rPr>
          <w:b/>
        </w:rPr>
        <w:t>Scientist E</w:t>
      </w:r>
      <w:r>
        <w:t>, Upper Air Instrumentation Division, Kestrel Atmospheric Instrumentation Laboratory</w:t>
      </w:r>
      <w:r>
        <w:rPr>
          <w:color w:val="4C545C"/>
        </w:rPr>
        <w:t>, New Delhi</w:t>
      </w:r>
      <w:r>
        <w:rPr>
          <w:color w:val="4C545C"/>
        </w:rPr>
        <w:t xml:space="preserve"> (07/2016 – Present)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198" w:hanging="198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198" w:hanging="198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198" w:hanging="198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10535" w:val="right"/>
        </w:tabs>
        <w:ind w:left="198"/>
      </w:pPr>
      <w:r>
        <w:rPr>
          <w:i/>
          <w:color w:val="4C545C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04/2019 – Present</w:t>
      </w:r>
    </w:p>
    <w:p>
      <w:pPr>
        <w:pStyle w:val="RISBody"/>
        <w:ind w:left="198"/>
      </w:pPr>
      <w:r>
        <w:t>Additional charge of the division workshop supporting instrument repair, fabrication and calibration.</w:t>
      </w:r>
    </w:p>
    <w:p>
      <w:pPr>
        <w:pStyle w:val="RISBullet"/>
        <w:numPr>
          <w:ilvl w:val="1"/>
          <w:numId w:val="90"/>
        </w:numPr>
        <w:ind w:left="397" w:hanging="198"/>
      </w:pPr>
      <w:r>
        <w:t>Supervise technicians and plan preventive maintenance for workshop test equipment.</w:t>
      </w:r>
    </w:p>
    <w:p>
      <w:pPr>
        <w:pStyle w:val="RISBullet"/>
        <w:numPr>
          <w:ilvl w:val="1"/>
          <w:numId w:val="90"/>
        </w:numPr>
        <w:ind w:left="397" w:hanging="198"/>
      </w:pPr>
      <w:r>
        <w:t>Introduced a job-card and spares-inventory system for instrument repairs and calibration work.</w:t>
      </w:r>
    </w:p>
    <w:p>
      <w:pPr>
        <w:pStyle w:val="RISChildTitle"/>
        <w:tabs>
          <w:tab w:pos="10535" w:val="right"/>
        </w:tabs>
        <w:ind w:left="198"/>
      </w:pPr>
      <w:r>
        <w:rPr>
          <w:i/>
          <w:color w:val="4C545C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01/2021 – Present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Senior Design Engineer</w:t>
      </w:r>
      <w:r>
        <w:t>, Avionics Integration Group, Halcyon Avionics Design Bureau</w:t>
      </w:r>
      <w:r>
        <w:rPr>
          <w:color w:val="4C545C"/>
        </w:rPr>
        <w:t>, Bengaluru</w:t>
      </w:r>
      <w:r>
        <w:rPr>
          <w:color w:val="4C545C"/>
        </w:rPr>
        <w:t xml:space="preserve"> (06/2004 – 06/2016)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Developed payload interface electronics for a fixed-wing UAV electro-optical sensor and supported its ground and flight trials.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Integrated mission-computer and display units on MIL-STD-1553 avionics buses and built the automated test rig used for bench validation.</w:t>
      </w:r>
    </w:p>
    <w:p>
      <w:pPr>
        <w:pStyle w:val="RISBullet"/>
        <w:numPr>
          <w:ilvl w:val="0"/>
          <w:numId w:val="90"/>
        </w:numPr>
        <w:ind w:left="198" w:hanging="198"/>
      </w:pPr>
      <w:r>
        <w:t>Planned environmental qualification (MIL-STD-810 vibration, temperature and humidity) for line-replaceable units and documented the test results.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Graduate Engineer</w:t>
      </w:r>
      <w:r>
        <w:t>, Test Systems Group, Meridian Electronics Limited</w:t>
      </w:r>
      <w:r>
        <w:rPr>
          <w:color w:val="4C545C"/>
        </w:rPr>
        <w:t>, Bengaluru</w:t>
      </w:r>
      <w:r>
        <w:rPr>
          <w:color w:val="4C545C"/>
        </w:rPr>
        <w:t xml:space="preserve"> (08/2002 – 05/2004)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Developed LabVIEW test sequences for power-supply and interface boards of avionics units.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4" w:space="2" w:color="333F48"/>
        </w:pBdr>
      </w:pPr>
      <w:r>
        <w:t>KEY PROJECTS</w:t>
      </w:r>
    </w:p>
    <w:p>
      <w:pPr>
        <w:pStyle w:val="Heading2"/>
      </w:pPr>
      <w:r>
        <w:rPr>
          <w:b/>
        </w:rPr>
        <w:t>Edge super-resolution pipeline for UAV imagery</w:t>
      </w:r>
      <w:r>
        <w:rPr>
          <w:i/>
          <w:color w:val="4C545C"/>
        </w:rPr>
        <w:t xml:space="preserve"> (Ongoing)</w:t>
      </w:r>
      <w:r>
        <w:t>, Principal investigator, Kestrel Atmospheric Instrumentation Laboratory</w:t>
      </w:r>
      <w:r>
        <w:rPr>
          <w:color w:val="4C545C"/>
        </w:rPr>
        <w:t xml:space="preserve"> (09/2021 – Present)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198" w:hanging="198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198" w:hanging="198"/>
      </w:pPr>
      <w:r>
        <w:t>Converted models through ONNX to INT8 TensorRT engines, achieving 3.1× faster inference on Jetson Xavier NX.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Radiosonde ground-station acceptance test protocol</w:t>
      </w:r>
      <w:r>
        <w:t>, Coordinator</w:t>
      </w:r>
      <w:r>
        <w:rPr>
          <w:color w:val="4C545C"/>
        </w:rPr>
        <w:t xml:space="preserve"> (01/2018 – 03/2019)</w:t>
      </w:r>
    </w:p>
    <w:p>
      <w:pPr>
        <w:pStyle w:val="RISBody"/>
      </w:pPr>
      <w:r>
        <w:t>Station acceptance testing varied between sites.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A common acceptance protocol and checklist adopted for new ground-receiving systems.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IoT monitoring of laboratory infrastructure</w:t>
      </w:r>
      <w:r>
        <w:t>, Project lead</w:t>
      </w:r>
      <w:r>
        <w:rPr>
          <w:color w:val="4C545C"/>
        </w:rPr>
        <w:t xml:space="preserve"> (02/2020 – 06/2022)</w:t>
      </w:r>
    </w:p>
    <w:p>
      <w:pPr>
        <w:pStyle w:val="RISBody"/>
      </w:pPr>
      <w:r>
        <w:t>Instrument rooms lacked continuous environmental and power-quality monitoring.</w:t>
      </w:r>
    </w:p>
    <w:p>
      <w:pPr>
        <w:pStyle w:val="RISMeta"/>
      </w:pPr>
      <w:r>
        <w:rPr>
          <w:b/>
        </w:rPr>
        <w:t xml:space="preserve">Technologies: </w:t>
      </w:r>
      <w:r>
        <w:t>ESP32, Environmental sensors, MQTT, Node-RED, InfluxDB, Grafana</w:t>
      </w:r>
    </w:p>
    <w:p>
      <w:pPr>
        <w:pStyle w:val="RISBullet"/>
        <w:numPr>
          <w:ilvl w:val="0"/>
          <w:numId w:val="90"/>
        </w:numPr>
        <w:ind w:left="198" w:hanging="198"/>
      </w:pPr>
      <w:r>
        <w:t>Deployed ESP32 sensor nodes publishing over MQTT to a Node-RED flow, InfluxDB time-series storage and Grafana dashboards with threshold alerts.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Continuous monitoring with automated alerts replaced manual twice-daily readings.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4" w:space="2" w:color="333F48"/>
        </w:pBdr>
      </w:pPr>
      <w:r>
        <w:t>EDUCATION</w:t>
      </w:r>
    </w:p>
    <w:p>
      <w:pPr>
        <w:pStyle w:val="Heading2"/>
      </w:pPr>
      <w:r>
        <w:rPr>
          <w:b/>
        </w:rPr>
        <w:t>Ph.D., Electrical and Electronics Engineering</w:t>
      </w:r>
      <w:r>
        <w:t>, Northfield Institute of Science and Technology</w:t>
      </w:r>
      <w:r>
        <w:rPr>
          <w:color w:val="4C545C"/>
        </w:rPr>
        <w:t xml:space="preserve"> (2021 – ongoing)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M.Tech., Avionics</w:t>
      </w:r>
      <w:r>
        <w:t>, Coastal Institute of Aeronautical Engineering</w:t>
      </w:r>
      <w:r>
        <w:rPr>
          <w:color w:val="4C545C"/>
        </w:rPr>
        <w:t>, Chennai</w:t>
      </w:r>
      <w:r>
        <w:rPr>
          <w:color w:val="4C545C"/>
        </w:rPr>
        <w:t xml:space="preserve"> (2010)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B.E., Electronics and Communication Engineering</w:t>
      </w:r>
      <w:r>
        <w:t>, Northfield Institute of Science and Technology, Northfield University</w:t>
      </w:r>
      <w:r>
        <w:rPr>
          <w:color w:val="4C545C"/>
        </w:rPr>
        <w:t>, Pune</w:t>
      </w:r>
      <w:r>
        <w:rPr>
          <w:color w:val="4C545C"/>
        </w:rPr>
        <w:t xml:space="preserve"> (2004)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4" w:space="2" w:color="333F48"/>
        </w:pBdr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3" w:history="1">
        <w:r>
          <w:rPr>
            <w:color w:val="333F48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4" w:history="1">
        <w:r>
          <w:rPr>
            <w:color w:val="333F48"/>
          </w:rPr>
          <w:t xml:space="preserve"> doi: 10.5555/ejai.2021.0042</w:t>
        </w:r>
      </w:hyperlink>
    </w:p>
    <w:p>
      <w:pPr>
        <w:pStyle w:val="Heading1"/>
        <w:pBdr>
          <w:bottom w:val="single" w:sz="4" w:space="2" w:color="333F48"/>
        </w:pBdr>
      </w:pPr>
      <w:r>
        <w:t>MANUSCRIPTS UNDER REVIEW / IN PREPARATION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>, M. Khan and R. Iyer</w:t>
      </w:r>
      <w:r>
        <w:t xml:space="preserve">, </w:t>
      </w:r>
      <w:r>
        <w:t>“Detection-aware quality assessment of super-resolved drone images,” under review at Example Transactions on Geoscience Imaging.</w:t>
      </w:r>
      <w:r>
        <w:rPr>
          <w:i/>
          <w:color w:val="4C545C"/>
        </w:rPr>
        <w:t xml:space="preserve"> [Under review]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 xml:space="preserve">, </w:t>
      </w:r>
      <w:r>
        <w:t>“Simulation study of balloon-released gliding sondes,” in preparation.</w:t>
      </w:r>
      <w:r>
        <w:rPr>
          <w:i/>
          <w:color w:val="4C545C"/>
        </w:rPr>
        <w:t xml:space="preserve"> [In preparation]</w:t>
      </w:r>
    </w:p>
    <w:p>
      <w:pPr>
        <w:pStyle w:val="Heading1"/>
        <w:pBdr>
          <w:bottom w:val="single" w:sz="4" w:space="2" w:color="333F48"/>
        </w:pBdr>
      </w:pPr>
      <w:r>
        <w:t>LEADERSHIP &amp; RESPONSIBILITIES</w:t>
      </w:r>
    </w:p>
    <w:p>
      <w:pPr>
        <w:pStyle w:val="Heading2"/>
      </w:pPr>
      <w:r>
        <w:rPr>
          <w:b/>
        </w:rPr>
        <w:t>Supervisor, M.Tech. interns in applied machine learning</w:t>
      </w:r>
      <w:r>
        <w:t>, Kestrel Atmospheric Instrumentation Laboratory</w:t>
      </w:r>
      <w:r>
        <w:rPr>
          <w:color w:val="4C545C"/>
        </w:rPr>
        <w:t xml:space="preserve"> (2022 – Present)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Chair, Technical Evaluation Committee for radiosonde procurement</w:t>
      </w:r>
      <w:r>
        <w:t>, Kestrel Atmospheric Instrumentation Laboratory</w:t>
      </w:r>
      <w:r>
        <w:rPr>
          <w:color w:val="4C545C"/>
        </w:rPr>
        <w:t xml:space="preserve"> (04/2023 – 02/2024)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198" w:hanging="198"/>
      </w:pPr>
      <w:r>
        <w:t>Evaluation report accepted by the competent authority.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4" w:space="2" w:color="333F48"/>
        </w:pBdr>
      </w:pPr>
      <w:r>
        <w:t>AWARDS &amp; HONOURS</w:t>
      </w:r>
    </w:p>
    <w:p>
      <w:pPr>
        <w:pStyle w:val="Heading2"/>
      </w:pPr>
      <w:r>
        <w:rPr>
          <w:b/>
        </w:rPr>
        <w:t>Best Paper Award</w:t>
      </w:r>
      <w:r>
        <w:t>, Example Conference on Instrumentation (ECI 2023)</w:t>
      </w:r>
      <w:r>
        <w:rPr>
          <w:color w:val="4C545C"/>
        </w:rPr>
        <w:t xml:space="preserve"> (2023)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4" w:space="2" w:color="333F48"/>
        </w:pBdr>
      </w:pPr>
      <w:r>
        <w:t>CERTIFICATIONS &amp; TRAINING</w:t>
      </w:r>
    </w:p>
    <w:p>
      <w:pPr>
        <w:pStyle w:val="Heading2"/>
      </w:pPr>
      <w:r>
        <w:rPr>
          <w:b/>
        </w:rPr>
        <w:t>Deep Learning for Edge Devices</w:t>
      </w:r>
      <w:r>
        <w:t>, Example Academy of Applied Computing</w:t>
      </w:r>
      <w:r>
        <w:rPr>
          <w:color w:val="4C545C"/>
        </w:rPr>
        <w:t xml:space="preserve"> (03/2022)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03/2029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Workshop on Efficient Deep Learning for Embedded Vision</w:t>
      </w:r>
      <w:r>
        <w:t>, Example Conference on Instrumentation (ECI 2023)</w:t>
      </w:r>
      <w:r>
        <w:rPr>
          <w:color w:val="4C545C"/>
        </w:rPr>
        <w:t xml:space="preserve"> (12/2023)</w:t>
      </w:r>
    </w:p>
    <w:p>
      <w:pPr>
        <w:pStyle w:val="RISMeta"/>
      </w:pPr>
      <w:r>
        <w:rPr>
          <w:b/>
        </w:rPr>
        <w:t xml:space="preserve">Duration: </w:t>
      </w:r>
      <w:r>
        <w:t>2 days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Introduction to Machine Learning (12-week course)</w:t>
      </w:r>
      <w:r>
        <w:t>, Example Online University Consortium</w:t>
      </w:r>
      <w:r>
        <w:rPr>
          <w:color w:val="4C545C"/>
        </w:rPr>
        <w:t xml:space="preserve"> (10/2018)</w:t>
      </w:r>
    </w:p>
    <w:p>
      <w:pPr>
        <w:pStyle w:val="RISMeta"/>
      </w:pPr>
      <w:r>
        <w:rPr>
          <w:b/>
        </w:rPr>
        <w:t xml:space="preserve">Duration: </w:t>
      </w:r>
      <w:r>
        <w:t>48 hours</w:t>
      </w:r>
    </w:p>
    <w:p>
      <w:pPr>
        <w:pStyle w:val="RISMeta"/>
      </w:pPr>
      <w:r>
        <w:rPr>
          <w:b/>
        </w:rPr>
        <w:t xml:space="preserve">Result: </w:t>
      </w:r>
      <w:r>
        <w:t>Elite (82%)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Public Procurement and GFR 2017</w:t>
      </w:r>
      <w:r>
        <w:t>, Example Institute of Public Administration (sponsored by Kestrel Atmospheric Instrumentation Laboratory)</w:t>
      </w:r>
      <w:r>
        <w:rPr>
          <w:color w:val="4C545C"/>
        </w:rPr>
        <w:t xml:space="preserve"> (11/2019)</w:t>
      </w:r>
    </w:p>
    <w:p>
      <w:pPr>
        <w:pStyle w:val="RISMeta"/>
      </w:pPr>
      <w:r>
        <w:rPr>
          <w:b/>
        </w:rPr>
        <w:t xml:space="preserve">Duration: </w:t>
      </w:r>
      <w:r>
        <w:t>5 days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2"/>
      </w:pPr>
      <w:r>
        <w:rPr>
          <w:b/>
        </w:rPr>
        <w:t>National Seminar on Upper-Air Observing Systems</w:t>
      </w:r>
      <w:r>
        <w:t>, Example Society of Atmospheric Instrumentation</w:t>
      </w:r>
      <w:r>
        <w:rPr>
          <w:color w:val="4C545C"/>
        </w:rPr>
        <w:t xml:space="preserve"> (08/2021)</w:t>
      </w:r>
    </w:p>
    <w:p>
      <w:pPr>
        <w:pStyle w:val="RISMeta"/>
      </w:pPr>
      <w:r>
        <w:rPr>
          <w:b/>
        </w:rPr>
        <w:t xml:space="preserve">Duration: </w:t>
      </w:r>
      <w:r>
        <w:t>1 day</w:t>
      </w: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4" w:space="2" w:color="333F48"/>
        </w:pBdr>
      </w:pPr>
      <w:r>
        <w:t>TECHNICAL SKILLS</w:t>
      </w:r>
    </w:p>
    <w:p>
      <w:pPr>
        <w:pStyle w:val="RISBody"/>
        <w:spacing w:after="21"/>
      </w:pPr>
      <w:r>
        <w:rPr>
          <w:b/>
        </w:rPr>
        <w:t xml:space="preserve">Avionics: </w:t>
      </w:r>
      <w:r>
        <w:t>MIL-STD-1553 / ARINC 429, Avionics integration</w:t>
      </w:r>
    </w:p>
    <w:p>
      <w:pPr>
        <w:pStyle w:val="RISBody"/>
        <w:spacing w:after="21"/>
      </w:pPr>
      <w:r>
        <w:rPr>
          <w:b/>
        </w:rPr>
        <w:t xml:space="preserve">Scientific instrumentation: </w:t>
      </w:r>
      <w:r>
        <w:t>Environmental qualification testing, Sensor calibration, Radiosonde and upper-air systems</w:t>
      </w:r>
    </w:p>
    <w:p>
      <w:pPr>
        <w:pStyle w:val="RISBody"/>
        <w:spacing w:after="21"/>
      </w:pPr>
      <w:r>
        <w:rPr>
          <w:b/>
        </w:rPr>
        <w:t xml:space="preserve">Embedded systems: </w:t>
      </w:r>
      <w:r>
        <w:t>Embedded C, ESP32 / STM32 microcontrollers</w:t>
      </w:r>
    </w:p>
    <w:p>
      <w:pPr>
        <w:pStyle w:val="RISBody"/>
        <w:spacing w:after="21"/>
      </w:pPr>
      <w:r>
        <w:rPr>
          <w:b/>
        </w:rPr>
        <w:t xml:space="preserve">Computer vision: </w:t>
      </w:r>
      <w:r>
        <w:t>Image super-resolution, Object detection</w:t>
      </w:r>
    </w:p>
    <w:p>
      <w:pPr>
        <w:pStyle w:val="RISBody"/>
        <w:spacing w:after="21"/>
      </w:pPr>
      <w:r>
        <w:rPr>
          <w:b/>
        </w:rPr>
        <w:t xml:space="preserve">Drones &amp; UAV systems: </w:t>
      </w:r>
      <w:r>
        <w:t>UAV payload integration</w:t>
      </w:r>
    </w:p>
    <w:p>
      <w:pPr>
        <w:pStyle w:val="RISBody"/>
        <w:spacing w:after="21"/>
      </w:pPr>
      <w:r>
        <w:rPr>
          <w:b/>
        </w:rPr>
        <w:t xml:space="preserve">Edge AI: </w:t>
      </w:r>
      <w:r>
        <w:t>NVIDIA Jetson deployment</w:t>
      </w:r>
    </w:p>
    <w:p>
      <w:pPr>
        <w:pStyle w:val="RISBody"/>
        <w:spacing w:after="21"/>
      </w:pPr>
      <w:r>
        <w:rPr>
          <w:b/>
        </w:rPr>
        <w:t xml:space="preserve">AI / machine learning: </w:t>
      </w:r>
      <w:r>
        <w:t>Deep learning, PyTorch</w:t>
      </w:r>
    </w:p>
    <w:p>
      <w:pPr>
        <w:pStyle w:val="Heading1"/>
        <w:pBdr>
          <w:bottom w:val="single" w:sz="4" w:space="2" w:color="333F48"/>
        </w:pBdr>
      </w:pPr>
      <w: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5"/>
      <w:pgSz w:w="11906" w:h="16838"/>
      <w:pgMar w:top="624" w:right="680" w:bottom="624" w:left="680" w:header="312" w:footer="28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45" w:val="right"/>
      </w:tabs>
      <w:spacing w:before="0" w:after="0"/>
    </w:pPr>
    <w:r>
      <w:rPr>
        <w:rFonts w:ascii="Calibri" w:hAnsi="Calibri" w:eastAsia="Calibri" w:cs="Calibri"/>
        <w:color w:val="4C545C"/>
        <w:sz w:val="15"/>
      </w:rPr>
      <w:t>Dr. Anika Sharma</w:t>
    </w:r>
    <w:r>
      <w:rPr>
        <w:rFonts w:ascii="Calibri" w:hAnsi="Calibri" w:eastAsia="Calibri" w:cs="Calibri"/>
        <w:color w:val="4C545C"/>
        <w:sz w:val="15"/>
      </w:rPr>
      <w:tab/>
    </w:r>
    <w:r>
      <w:rPr>
        <w:rFonts w:ascii="Calibri" w:hAnsi="Calibri" w:eastAsia="Calibri" w:cs="Calibri"/>
        <w:color w:val="4C545C"/>
        <w:sz w:val="15"/>
      </w:rPr>
      <w:fldChar w:fldCharType="begin"/>
    </w:r>
    <w:r>
      <w:rPr>
        <w:rFonts w:ascii="Calibri" w:hAnsi="Calibri" w:eastAsia="Calibri" w:cs="Calibri"/>
        <w:color w:val="4C545C"/>
        <w:sz w:val="15"/>
      </w:rPr>
      <w:instrText xml:space="preserve"> PAGE </w:instrText>
    </w:r>
    <w:r>
      <w:rPr>
        <w:rFonts w:ascii="Calibri" w:hAnsi="Calibri" w:eastAsia="Calibri" w:cs="Calibri"/>
        <w:color w:val="4C545C"/>
        <w:sz w:val="15"/>
      </w:rPr>
      <w:fldChar w:fldCharType="separate"/>
    </w:r>
    <w:r>
      <w:rPr>
        <w:rFonts w:ascii="Calibri" w:hAnsi="Calibri" w:eastAsia="Calibri" w:cs="Calibri"/>
        <w:color w:val="4C545C"/>
        <w:sz w:val="15"/>
      </w:rPr>
      <w:t>1</w:t>
    </w:r>
    <w:r>
      <w:rPr>
        <w:rFonts w:ascii="Calibri" w:hAnsi="Calibri" w:eastAsia="Calibri" w:cs="Calibri"/>
        <w:color w:val="4C545C"/>
        <w:sz w:val="15"/>
      </w:rPr>
      <w:fldChar w:fldCharType="end"/>
    </w:r>
    <w:r>
      <w:rPr>
        <w:rFonts w:ascii="Calibri" w:hAnsi="Calibri" w:eastAsia="Calibri" w:cs="Calibri"/>
        <w:color w:val="4C545C"/>
        <w:sz w:val="15"/>
      </w:rPr>
      <w:t xml:space="preserve"> / </w:t>
    </w:r>
    <w:r>
      <w:rPr>
        <w:rFonts w:ascii="Calibri" w:hAnsi="Calibri" w:eastAsia="Calibri" w:cs="Calibri"/>
        <w:color w:val="4C545C"/>
        <w:sz w:val="15"/>
      </w:rPr>
      <w:fldChar w:fldCharType="begin"/>
    </w:r>
    <w:r>
      <w:rPr>
        <w:rFonts w:ascii="Calibri" w:hAnsi="Calibri" w:eastAsia="Calibri" w:cs="Calibri"/>
        <w:color w:val="4C545C"/>
        <w:sz w:val="15"/>
      </w:rPr>
      <w:instrText xml:space="preserve"> NUMPAGES </w:instrText>
    </w:r>
    <w:r>
      <w:rPr>
        <w:rFonts w:ascii="Calibri" w:hAnsi="Calibri" w:eastAsia="Calibri" w:cs="Calibri"/>
        <w:color w:val="4C545C"/>
        <w:sz w:val="15"/>
      </w:rPr>
      <w:fldChar w:fldCharType="separate"/>
    </w:r>
    <w:r>
      <w:rPr>
        <w:rFonts w:ascii="Calibri" w:hAnsi="Calibri" w:eastAsia="Calibri" w:cs="Calibri"/>
        <w:color w:val="4C545C"/>
        <w:sz w:val="15"/>
      </w:rPr>
      <w:t>1</w:t>
    </w:r>
    <w:r>
      <w:rPr>
        <w:rFonts w:ascii="Calibri" w:hAnsi="Calibri" w:eastAsia="Calibri" w:cs="Calibri"/>
        <w:color w:val="4C545C"/>
        <w:sz w:val="15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C545C"/>
        <w:sz w:val="15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198" w:hanging="198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397" w:hanging="198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595" w:hanging="19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4" w:after="35" w:lineRule="auto" w:line="240"/>
      <w:ind w:left="0" w:firstLine="0"/>
      <w:jc w:val="left"/>
      <w:outlineLvl w:val="0"/>
    </w:pPr>
    <w:rPr>
      <w:rFonts w:ascii="Calibri" w:hAnsi="Calibri" w:eastAsia="Calibri" w:cs="Calibri"/>
      <w:b/>
      <w:bCs/>
      <w:i w:val="0"/>
      <w:caps w:val="0"/>
      <w:smallCaps w:val="0"/>
      <w:color w:val="333F48"/>
      <w:sz w:val="20"/>
      <w:szCs w:val="28"/>
      <w:u w:val="none"/>
      <w:lang w:val="en-IN"/>
      <w:spacing w:val="1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38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E1E1E"/>
      <w:sz w:val="18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libri" w:hAnsi="Calibri" w:eastAsia="Calibri" w:cs="Calibri"/>
      <w:b/>
      <w:i w:val="0"/>
      <w:caps w:val="0"/>
      <w:smallCaps w:val="0"/>
      <w:color w:val="333F48"/>
      <w:spacing w:val="5"/>
      <w:kern w:val="28"/>
      <w:sz w:val="32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1E1E1E"/>
      <w:sz w:val="23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9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6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333F48"/>
      <w:sz w:val="20"/>
      <w:u w:val="none"/>
      <w:lang w:val="en-IN"/>
      <w:spacing w:val="12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C545C"/>
      <w:sz w:val="18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C545C"/>
      <w:sz w:val="16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38"/>
      <w:ind w:left="198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45"/>
      <w:ind w:left="0" w:firstLine="0"/>
      <w:jc w:val="both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38"/>
      <w:ind w:left="198" w:hanging="198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C545C"/>
      <w:sz w:val="16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1E1E"/>
      <w:sz w:val="17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333F48"/>
      <w:sz w:val="19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7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1E1E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FFFFFF"/>
      <w:sz w:val="32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9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6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50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38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333F48"/>
      <w:sz w:val="18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38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7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333F48"/>
      <w:sz w:val="33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E1E1E"/>
      <w:sz w:val="16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C545C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38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333F48"/>
      <w:sz w:val="19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1E1E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Professional resume</dc:title>
  <dc:subject>Scientist 'E' — Avionics and Sensor Systems (deputation)</dc:subject>
  <dc:creator>Dr. Anika Sharma</dc:creator>
  <cp:keywords>Avionics, Electronics engineering, Test &amp; evaluation, Sensors, Embedded systems, Doctoral research, Edge AI, UAV / drone systems, Machine learning, Computer vision, Publications, Coordination</cp:keywords>
  <dc:description>Resume Intelligence Studio 1.1.0</dc:description>
  <cp:lastModifiedBy>Dr. Anika Sharma</cp:lastModifiedBy>
  <cp:revision>1</cp:revision>
  <dcterms:created xsi:type="dcterms:W3CDTF">2026-10-25T09:39:53Z</dcterms:created>
  <dcterms:modified xsi:type="dcterms:W3CDTF">2026-10-25T09:39:53Z</dcterms:modified>
  <cp:category>Resume</cp:category>
  <dc:language>en-IN</dc:language>
</cp:coreProperties>
</file>