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ISTitleLine"/>
      </w:pPr>
      <w:r>
        <w:rPr>
          <w:b/>
          <w:u w:val="single"/>
        </w:rPr>
        <w:t>BIO-DATA / CURRICULUM VITAE</w:t>
      </w:r>
    </w:p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000000"/>
          </w:rPr>
          <w:t>anika.sharma@example.org</w:t>
        </w:r>
      </w:hyperlink>
      <w:r>
        <w:rPr>
          <w:color w:val="222222"/>
        </w:rPr>
        <w:t xml:space="preserve">  |  </w:t>
      </w:r>
      <w:hyperlink r:id="rId10" w:history="1">
        <w:r>
          <w:rPr>
            <w:color w:val="000000"/>
          </w:rPr>
          <w:t>+91 00000 12345</w:t>
        </w:r>
      </w:hyperlink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1. PERSONAL AND OFFICIAL PARTICULARS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3315"/>
        <w:gridCol w:w="6436"/>
      </w:tblGrid>
      <w:tr>
        <w:tc>
          <w:tcPr>
            <w:tcW w:type="dxa" w:w="3315"/>
          </w:tcPr>
          <w:p>
            <w:pPr>
              <w:pStyle w:val="RISTableHead"/>
            </w:pPr>
            <w:r>
              <w:t>Name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Anika Sharma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designation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Scientist E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organisation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Upper Air Instrumentation Division, Kestrel Atmospheric Instrumentation Laboratory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pay level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Level 12 (7th CPC)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Email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anika.sharma@example.org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Telephone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+91 00000 12345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2. EDUCATIONAL QUALIFICATIONS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1463"/>
        <w:gridCol w:w="2925"/>
        <w:gridCol w:w="2925"/>
        <w:gridCol w:w="1073"/>
        <w:gridCol w:w="1365"/>
      </w:tblGrid>
      <w:tr>
        <w:trPr>
          <w:tblHeader/>
        </w:trPr>
        <w:tc>
          <w:tcPr>
            <w:tcW w:type="dxa" w:w="1463"/>
            <w:shd w:val="clear" w:color="auto" w:fill="E7E7E7"/>
          </w:tcPr>
          <w:p>
            <w:pPr>
              <w:pStyle w:val="RISTableHead"/>
            </w:pPr>
            <w:r>
              <w:t>Qualification</w:t>
            </w:r>
          </w:p>
        </w:tc>
        <w:tc>
          <w:tcPr>
            <w:tcW w:type="dxa" w:w="2925"/>
            <w:shd w:val="clear" w:color="auto" w:fill="E7E7E7"/>
          </w:tcPr>
          <w:p>
            <w:pPr>
              <w:pStyle w:val="RISTableHead"/>
            </w:pPr>
            <w:r>
              <w:t>Discipline / Subject</w:t>
            </w:r>
          </w:p>
        </w:tc>
        <w:tc>
          <w:tcPr>
            <w:tcW w:type="dxa" w:w="2925"/>
            <w:shd w:val="clear" w:color="auto" w:fill="E7E7E7"/>
          </w:tcPr>
          <w:p>
            <w:pPr>
              <w:pStyle w:val="RISTableHead"/>
            </w:pPr>
            <w:r>
              <w:t>Institution / University</w:t>
            </w:r>
          </w:p>
        </w:tc>
        <w:tc>
          <w:tcPr>
            <w:tcW w:type="dxa" w:w="1073"/>
            <w:shd w:val="clear" w:color="auto" w:fill="E7E7E7"/>
          </w:tcPr>
          <w:p>
            <w:pPr>
              <w:pStyle w:val="RISTableHead"/>
            </w:pPr>
            <w:r>
              <w:t>Year</w:t>
            </w:r>
          </w:p>
        </w:tc>
        <w:tc>
          <w:tcPr>
            <w:tcW w:type="dxa" w:w="1365"/>
            <w:shd w:val="clear" w:color="auto" w:fill="E7E7E7"/>
          </w:tcPr>
          <w:p>
            <w:pPr>
              <w:pStyle w:val="RISTableHead"/>
            </w:pPr>
            <w:r>
              <w:t>Division / Grade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B.E.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Electronics and Communication Engineering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Northfield Institute of Science and Technology, Northfield University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2004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First Class with Distinction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M.Tech.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Avionics</w:t>
            </w:r>
          </w:p>
          <w:p>
            <w:pPr>
              <w:pStyle w:val="RISTableText"/>
            </w:pPr>
            <w:r>
              <w:t>Thesis: Fault-tolerant data acquisition for airborne test instrumentation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Coastal Institute of Aeronautical Engineering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2010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CGPA 8.6/10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Ph.D.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Electrical and Electronics Engineering</w:t>
            </w:r>
          </w:p>
          <w:p>
            <w:pPr>
              <w:pStyle w:val="RISTableText"/>
            </w:pPr>
            <w:r>
              <w:t>Thesis: Lightweight deep networks for real-time enhancement of aerial imagery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Northfield Institute of Science and Technology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2021 – ongoing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Ongoing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3. DETAILS OF EMPLOYMENT (IN CHRONOLOGICAL ORDER)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2145"/>
        <w:gridCol w:w="1658"/>
        <w:gridCol w:w="878"/>
        <w:gridCol w:w="878"/>
        <w:gridCol w:w="878"/>
        <w:gridCol w:w="3315"/>
      </w:tblGrid>
      <w:tr>
        <w:trPr>
          <w:tblHeader/>
        </w:trPr>
        <w:tc>
          <w:tcPr>
            <w:tcW w:type="dxa" w:w="2145"/>
            <w:shd w:val="clear" w:color="auto" w:fill="E7E7E7"/>
          </w:tcPr>
          <w:p>
            <w:pPr>
              <w:pStyle w:val="RISTableHead"/>
            </w:pPr>
            <w:r>
              <w:t>Office / Organisation</w:t>
            </w:r>
          </w:p>
        </w:tc>
        <w:tc>
          <w:tcPr>
            <w:tcW w:type="dxa" w:w="1658"/>
            <w:shd w:val="clear" w:color="auto" w:fill="E7E7E7"/>
          </w:tcPr>
          <w:p>
            <w:pPr>
              <w:pStyle w:val="RISTableHead"/>
            </w:pPr>
            <w:r>
              <w:t>Post held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From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To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Pay level</w:t>
            </w:r>
          </w:p>
        </w:tc>
        <w:tc>
          <w:tcPr>
            <w:tcW w:type="dxa" w:w="3315"/>
            <w:shd w:val="clear" w:color="auto" w:fill="E7E7E7"/>
          </w:tcPr>
          <w:p>
            <w:pPr>
              <w:pStyle w:val="RISTableHead"/>
            </w:pPr>
            <w:r>
              <w:t>Nature of duties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Test Systems Group, Meridian Electronics Limited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Graduate Engineer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08/2002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05/2004</w:t>
            </w:r>
          </w:p>
        </w:tc>
        <w:tc>
          <w:tcPr>
            <w:tcW w:type="dxa" w:w="878"/>
          </w:tcPr>
          <w:p>
            <w:pPr>
              <w:pStyle w:val="RISTableText"/>
            </w:pPr>
            <w:r/>
          </w:p>
        </w:tc>
        <w:tc>
          <w:tcPr>
            <w:tcW w:type="dxa" w:w="3315"/>
          </w:tcPr>
          <w:p>
            <w:pPr>
              <w:pStyle w:val="RISTableText"/>
            </w:pPr>
            <w:r>
              <w:t>Built automated test equipment for avionics line-replaceable units.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Avionics Integration Group, Halcyon Avionics Design Bureau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Senior Design Engineer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06/2004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06/2016</w:t>
            </w:r>
          </w:p>
        </w:tc>
        <w:tc>
          <w:tcPr>
            <w:tcW w:type="dxa" w:w="878"/>
          </w:tcPr>
          <w:p>
            <w:pPr>
              <w:pStyle w:val="RISTableText"/>
            </w:pPr>
            <w:r/>
          </w:p>
        </w:tc>
        <w:tc>
          <w:tcPr>
            <w:tcW w:type="dxa" w:w="3315"/>
          </w:tcPr>
          <w:p>
            <w:pPr>
              <w:pStyle w:val="RISTableText"/>
            </w:pPr>
            <w:r>
              <w:t>Design, integration and environmental qualification of avionics line-replaceable units; development of automated test rigs; support to flight trials of UAV payloads.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Upper Air Instrumentation Division, Kestrel Atmospheric Instrumentation Laboratory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Scientist E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07/2016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Till date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Level 12</w:t>
            </w:r>
          </w:p>
        </w:tc>
        <w:tc>
          <w:tcPr>
            <w:tcW w:type="dxa" w:w="3315"/>
          </w:tcPr>
          <w:p>
            <w:pPr>
              <w:pStyle w:val="RISTableText"/>
            </w:pPr>
            <w:r>
              <w:t>Planning, testing and maintenance of radiosonde ground systems and upper-air instruments; management of the division workshop; leadership of IoT monitoring and AI/ML development; technical evaluation and procurement of instruments under GFR; guidance of project staff and interns.</w:t>
            </w:r>
          </w:p>
          <w:p>
            <w:pPr>
              <w:pStyle w:val="RISTableText"/>
            </w:pPr>
            <w:r>
              <w:t>Additional charge: Workshop In-charge, Upper Air Division Workshop (04/2019 – Present)</w:t>
            </w:r>
          </w:p>
          <w:p>
            <w:pPr>
              <w:pStyle w:val="RISTableText"/>
            </w:pPr>
            <w:r>
              <w:t>Nodal officer: Nodal Officer, IoT and AI/ML Initiatives (01/2021 – Present)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4. QUALIFICATIONS AND EXPERIENCE AGAINST THE REQUIREMENTS OF THE POST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780"/>
        <w:gridCol w:w="4095"/>
        <w:gridCol w:w="4876"/>
      </w:tblGrid>
      <w:tr>
        <w:trPr>
          <w:tblHeader/>
        </w:trPr>
        <w:tc>
          <w:tcPr>
            <w:tcW w:type="dxa" w:w="780"/>
            <w:shd w:val="clear" w:color="auto" w:fill="E7E7E7"/>
          </w:tcPr>
          <w:p>
            <w:pPr>
              <w:pStyle w:val="RISTableHead"/>
            </w:pPr>
            <w:r>
              <w:t>S. No.</w:t>
            </w:r>
          </w:p>
        </w:tc>
        <w:tc>
          <w:tcPr>
            <w:tcW w:type="dxa" w:w="4095"/>
            <w:shd w:val="clear" w:color="auto" w:fill="E7E7E7"/>
          </w:tcPr>
          <w:p>
            <w:pPr>
              <w:pStyle w:val="RISTableHead"/>
            </w:pPr>
            <w:r>
              <w:t>Qualifications / experience required (as advertised)</w:t>
            </w:r>
          </w:p>
        </w:tc>
        <w:tc>
          <w:tcPr>
            <w:tcW w:type="dxa" w:w="4876"/>
            <w:shd w:val="clear" w:color="auto" w:fill="E7E7E7"/>
          </w:tcPr>
          <w:p>
            <w:pPr>
              <w:pStyle w:val="RISTableHead"/>
            </w:pPr>
            <w:r>
              <w:t>Qualifications / experience possessed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1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Essential: Master's degree in Electronics / Electronics and Communication / Avionics Engineering from a recognised university.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M.Tech., Avionics — Coastal Institute of Aeronautical Engineering (2010)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2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Essential: At least 10 years of experience in design, integration or testing of avionics, embedded or sensor systems.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At least 23 years (since Aug 2002) in avionics, test &amp; evaluation: Scientist E, Kestrel Atmospheric Instrumentation Laboratory; Senior Design Engineer, Halcyon Avionics Design Bureau; Graduate Engineer, Meridian Electronics Limited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3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Ph.D. in Electronics, Electrical or Computer Engineering.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Ph.D., Electrical and Electronics Engineering — Northfield Institute of Science and Technology (ongoing)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4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Experience in machine learning, computer vision or edge AI deployment for airborne or UAV platforms.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Benchmarking embedded GPUs for real-time image enhancement (publication); Object detection (skill); Edge super-resolution pipeline for UAV imagery (project)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5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Publications in peer-reviewed journals.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6 peer-reviewed publication(s): Channel-pruned residual networks for real-time aerial image enhancement on embedded GPUs; An IoT telemetry framework for upper-air ground stations; A low-cost GNSS receiver chain for radiosonde tracking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6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Experience of leading technical teams and project coordination.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Radiosonde ground-station acceptance test protocol (project); Integrated mission-computer and display units on MIL-STD-1553 avionics buses and built the automated test rig used for b (achievement / responsibility)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7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Design and evaluation of airborne sensor and avionics subsystems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Integrated mission-computer and display units on MIL-STD-1553 avionics buses and built the automated test rig used for b (achievement / responsibility); Developed LabVIEW test sequences for power-supply and interface boards of avionics units. (achievement / responsibility); IoT monitoring of laboratory infrastructure (project)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8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development of embedded processing for UAV payloads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Edge super-resolution pipeline for UAV imagery (project); Implemented structured channel pruning and knowledge distillation to shrink the super-resolution network for embedded de (achievement / responsibility); Developed payload interface electronics for a fixed-wing UAV electro-optical sensor and supported its ground and flight  (achievement / responsibility)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9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preparation of technical specifications and test plans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Prepared technical specifications and served on bid-evaluation committees for instrument procurement through the Governm (achievement / responsibility); Chair, Technical Evaluation Committee for radiosonde procurement (leadership &amp; activity)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10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guidance of junior scientists.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Scientist E (position); A low-cost GNSS receiver chain for radiosonde tracking (publication)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5. 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t>A. Sharma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1" w:history="1">
        <w:r>
          <w:rPr>
            <w:color w:val="000000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t>A. Sharma,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t>A. Sharma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t>A. Sharma,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2" w:history="1">
        <w:r>
          <w:rPr>
            <w:color w:val="000000"/>
          </w:rPr>
          <w:t xml:space="preserve"> doi: 10.5555/ejai.2021.0042</w:t>
        </w:r>
      </w:hyperlink>
    </w:p>
    <w:p>
      <w:pPr>
        <w:pStyle w:val="Heading1"/>
      </w:pPr>
      <w:r>
        <w:t>6. 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222222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222222"/>
        </w:rPr>
        <w:t xml:space="preserve"> [In preparation]</w:t>
      </w:r>
    </w:p>
    <w:p>
      <w:pPr>
        <w:pStyle w:val="Heading1"/>
      </w:pPr>
      <w:r>
        <w:t>7. MAJOR PROJECTS AND TECHNICAL CONTRIBUTIONS</w:t>
      </w:r>
    </w:p>
    <w:p>
      <w:pPr>
        <w:pStyle w:val="Heading2"/>
        <w:tabs>
          <w:tab w:pos="9741" w:val="right"/>
        </w:tabs>
      </w:pPr>
      <w:r>
        <w:rPr>
          <w:b/>
        </w:rPr>
        <w:t>Edge super-resolution pipeline for UAV imagery</w:t>
      </w:r>
      <w:r>
        <w:rPr>
          <w:i/>
          <w:color w:val="222222"/>
        </w:rPr>
        <w:t xml:space="preserve"> (Ongoing)</w:t>
      </w:r>
      <w:r>
        <w:tab/>
      </w:r>
      <w:r>
        <w:t>09/2021 – Present</w:t>
      </w:r>
    </w:p>
    <w:p>
      <w:pPr>
        <w:pStyle w:val="RISEntrySub"/>
      </w:pPr>
      <w: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Radiosonde ground-station acceptance test protocol</w:t>
      </w:r>
      <w:r>
        <w:tab/>
      </w:r>
      <w:r>
        <w:t>01/2018 – 03/2019</w:t>
      </w:r>
    </w:p>
    <w:p>
      <w:pPr>
        <w:pStyle w:val="RISEntrySub"/>
      </w:pPr>
      <w:r>
        <w:t>Coordinator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 common acceptance protocol and checklist adopted for new ground-receiving systems.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IoT monitoring of laboratory infrastructure</w:t>
      </w:r>
      <w:r>
        <w:tab/>
      </w:r>
      <w:r>
        <w:t>02/2020 – 06/2022</w:t>
      </w:r>
    </w:p>
    <w:p>
      <w:pPr>
        <w:pStyle w:val="RISEntrySub"/>
      </w:pPr>
      <w:r>
        <w:t>Project lead</w:t>
      </w:r>
    </w:p>
    <w:p>
      <w:pPr>
        <w:pStyle w:val="RISBody"/>
      </w:pPr>
      <w:r>
        <w:t>Instrument rooms lacked continuous environmental and power-quality monitoring.</w:t>
      </w:r>
    </w:p>
    <w:p>
      <w:pPr>
        <w:pStyle w:val="RISMeta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Continuous monitoring with automated alerts replaced manual twice-daily readings.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8. TRAINING PROGRAMMES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3705"/>
        <w:gridCol w:w="3120"/>
        <w:gridCol w:w="1755"/>
        <w:gridCol w:w="1170"/>
      </w:tblGrid>
      <w:tr>
        <w:trPr>
          <w:tblHeader/>
        </w:trPr>
        <w:tc>
          <w:tcPr>
            <w:tcW w:type="dxa" w:w="3705"/>
            <w:shd w:val="clear" w:color="auto" w:fill="E7E7E7"/>
          </w:tcPr>
          <w:p>
            <w:pPr>
              <w:pStyle w:val="RISTableHead"/>
            </w:pPr>
            <w:r>
              <w:t>Programme / course</w:t>
            </w:r>
          </w:p>
        </w:tc>
        <w:tc>
          <w:tcPr>
            <w:tcW w:type="dxa" w:w="3120"/>
            <w:shd w:val="clear" w:color="auto" w:fill="E7E7E7"/>
          </w:tcPr>
          <w:p>
            <w:pPr>
              <w:pStyle w:val="RISTableHead"/>
            </w:pPr>
            <w:r>
              <w:t>Institute / sponsor</w:t>
            </w:r>
          </w:p>
        </w:tc>
        <w:tc>
          <w:tcPr>
            <w:tcW w:type="dxa" w:w="1755"/>
            <w:shd w:val="clear" w:color="auto" w:fill="E7E7E7"/>
          </w:tcPr>
          <w:p>
            <w:pPr>
              <w:pStyle w:val="RISTableHead"/>
            </w:pPr>
            <w:r>
              <w:t>Period</w:t>
            </w:r>
          </w:p>
        </w:tc>
        <w:tc>
          <w:tcPr>
            <w:tcW w:type="dxa" w:w="1170"/>
            <w:shd w:val="clear" w:color="auto" w:fill="E7E7E7"/>
          </w:tcPr>
          <w:p>
            <w:pPr>
              <w:pStyle w:val="RISTableHead"/>
            </w:pPr>
            <w:r>
              <w:t>Duration</w:t>
            </w:r>
          </w:p>
        </w:tc>
      </w:tr>
      <w:tr>
        <w:tc>
          <w:tcPr>
            <w:tcW w:type="dxa" w:w="3705"/>
          </w:tcPr>
          <w:p>
            <w:pPr>
              <w:pStyle w:val="RISTableText"/>
            </w:pPr>
            <w:r>
              <w:t>Public Procurement and GFR 2017</w:t>
            </w:r>
          </w:p>
        </w:tc>
        <w:tc>
          <w:tcPr>
            <w:tcW w:type="dxa" w:w="3120"/>
          </w:tcPr>
          <w:p>
            <w:pPr>
              <w:pStyle w:val="RISTableText"/>
            </w:pPr>
            <w:r>
              <w:t>Example Institute of Public Administration (sponsored by Kestrel Atmospheric Instrumentation Laboratory)</w:t>
            </w:r>
          </w:p>
        </w:tc>
        <w:tc>
          <w:tcPr>
            <w:tcW w:type="dxa" w:w="1755"/>
          </w:tcPr>
          <w:p>
            <w:pPr>
              <w:pStyle w:val="RISTableText"/>
            </w:pPr>
            <w:r>
              <w:t>11/2019</w:t>
            </w:r>
          </w:p>
        </w:tc>
        <w:tc>
          <w:tcPr>
            <w:tcW w:type="dxa" w:w="1170"/>
          </w:tcPr>
          <w:p>
            <w:pPr>
              <w:pStyle w:val="RISTableText"/>
            </w:pPr>
            <w:r>
              <w:t>5 days</w:t>
            </w:r>
          </w:p>
        </w:tc>
      </w:tr>
      <w:tr>
        <w:tc>
          <w:tcPr>
            <w:tcW w:type="dxa" w:w="3705"/>
          </w:tcPr>
          <w:p>
            <w:pPr>
              <w:pStyle w:val="RISTableText"/>
            </w:pPr>
            <w:r>
              <w:t>Mid-Career Training Programme for Scientists</w:t>
            </w:r>
          </w:p>
        </w:tc>
        <w:tc>
          <w:tcPr>
            <w:tcW w:type="dxa" w:w="3120"/>
          </w:tcPr>
          <w:p>
            <w:pPr>
              <w:pStyle w:val="RISTableText"/>
            </w:pPr>
            <w:r>
              <w:t>Example Institute of Scientific Administration (sponsored by Ministry of Example Sciences)</w:t>
            </w:r>
          </w:p>
        </w:tc>
        <w:tc>
          <w:tcPr>
            <w:tcW w:type="dxa" w:w="1755"/>
          </w:tcPr>
          <w:p>
            <w:pPr>
              <w:pStyle w:val="RISTableText"/>
            </w:pPr>
            <w:r>
              <w:t>02/2020</w:t>
            </w:r>
          </w:p>
        </w:tc>
        <w:tc>
          <w:tcPr>
            <w:tcW w:type="dxa" w:w="1170"/>
          </w:tcPr>
          <w:p>
            <w:pPr>
              <w:pStyle w:val="RISTableText"/>
            </w:pPr>
            <w:r>
              <w:t>10 days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9. PROFESSIONAL COURSES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3705"/>
        <w:gridCol w:w="3120"/>
        <w:gridCol w:w="1755"/>
        <w:gridCol w:w="1170"/>
      </w:tblGrid>
      <w:tr>
        <w:trPr>
          <w:tblHeader/>
        </w:trPr>
        <w:tc>
          <w:tcPr>
            <w:tcW w:type="dxa" w:w="3705"/>
            <w:shd w:val="clear" w:color="auto" w:fill="E7E7E7"/>
          </w:tcPr>
          <w:p>
            <w:pPr>
              <w:pStyle w:val="RISTableHead"/>
            </w:pPr>
            <w:r>
              <w:t>Programme / course</w:t>
            </w:r>
          </w:p>
        </w:tc>
        <w:tc>
          <w:tcPr>
            <w:tcW w:type="dxa" w:w="3120"/>
            <w:shd w:val="clear" w:color="auto" w:fill="E7E7E7"/>
          </w:tcPr>
          <w:p>
            <w:pPr>
              <w:pStyle w:val="RISTableHead"/>
            </w:pPr>
            <w:r>
              <w:t>Institute / sponsor</w:t>
            </w:r>
          </w:p>
        </w:tc>
        <w:tc>
          <w:tcPr>
            <w:tcW w:type="dxa" w:w="1755"/>
            <w:shd w:val="clear" w:color="auto" w:fill="E7E7E7"/>
          </w:tcPr>
          <w:p>
            <w:pPr>
              <w:pStyle w:val="RISTableHead"/>
            </w:pPr>
            <w:r>
              <w:t>Period</w:t>
            </w:r>
          </w:p>
        </w:tc>
        <w:tc>
          <w:tcPr>
            <w:tcW w:type="dxa" w:w="1170"/>
            <w:shd w:val="clear" w:color="auto" w:fill="E7E7E7"/>
          </w:tcPr>
          <w:p>
            <w:pPr>
              <w:pStyle w:val="RISTableHead"/>
            </w:pPr>
            <w:r>
              <w:t>Duration</w:t>
            </w:r>
          </w:p>
        </w:tc>
      </w:tr>
      <w:tr>
        <w:tc>
          <w:tcPr>
            <w:tcW w:type="dxa" w:w="3705"/>
          </w:tcPr>
          <w:p>
            <w:pPr>
              <w:pStyle w:val="RISTableText"/>
            </w:pPr>
            <w:r>
              <w:t>Introduction to Machine Learning (12-week course)</w:t>
            </w:r>
          </w:p>
        </w:tc>
        <w:tc>
          <w:tcPr>
            <w:tcW w:type="dxa" w:w="3120"/>
          </w:tcPr>
          <w:p>
            <w:pPr>
              <w:pStyle w:val="RISTableText"/>
            </w:pPr>
            <w:r>
              <w:t>Example Online University Consortium</w:t>
            </w:r>
          </w:p>
        </w:tc>
        <w:tc>
          <w:tcPr>
            <w:tcW w:type="dxa" w:w="1755"/>
          </w:tcPr>
          <w:p>
            <w:pPr>
              <w:pStyle w:val="RISTableText"/>
            </w:pPr>
            <w:r>
              <w:t>10/2018</w:t>
            </w:r>
          </w:p>
        </w:tc>
        <w:tc>
          <w:tcPr>
            <w:tcW w:type="dxa" w:w="1170"/>
          </w:tcPr>
          <w:p>
            <w:pPr>
              <w:pStyle w:val="RISTableText"/>
            </w:pPr>
            <w:r>
              <w:t>48 hours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10. CERTIFICATIONS &amp; LICENCES</w:t>
      </w:r>
    </w:p>
    <w:p>
      <w:pPr>
        <w:pStyle w:val="Heading2"/>
        <w:tabs>
          <w:tab w:pos="9741" w:val="right"/>
        </w:tabs>
      </w:pPr>
      <w:r>
        <w:rPr>
          <w:b/>
        </w:rPr>
        <w:t>Deep Learning for Edge Devices</w:t>
      </w:r>
      <w:r>
        <w:tab/>
      </w:r>
      <w:r>
        <w:t>03/2022</w:t>
      </w:r>
    </w:p>
    <w:p>
      <w:pPr>
        <w:pStyle w:val="RISEntrySub"/>
      </w:pPr>
      <w:r>
        <w:t>Example Academy of Applied Computing</w:t>
      </w:r>
    </w:p>
    <w:p>
      <w:pPr>
        <w:pStyle w:val="RISBody"/>
      </w:pPr>
      <w:r>
        <w:t>Used the model-compression techniques to deploy the drone super-resolution model on Jetson modules.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03/2029</w:t>
      </w:r>
    </w:p>
    <w:p>
      <w:pPr>
        <w:pStyle w:val="RISMeta"/>
      </w:pPr>
      <w:r>
        <w:rPr>
          <w:b/>
        </w:rPr>
        <w:t xml:space="preserve">Mode: </w:t>
      </w:r>
      <w:r>
        <w:t>Online</w:t>
      </w:r>
    </w:p>
    <w:p>
      <w:pPr>
        <w:pStyle w:val="RISMeta"/>
      </w:pPr>
      <w:r>
        <w:rPr>
          <w:b/>
        </w:rPr>
        <w:t xml:space="preserve">Skills: </w:t>
      </w:r>
      <w:r>
        <w:t>Deep learning, Edge AI, TensorRT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Academic English proficiency test</w:t>
      </w:r>
      <w:r>
        <w:rPr>
          <w:i/>
          <w:color w:val="222222"/>
        </w:rPr>
        <w:t xml:space="preserve"> (Expired)</w:t>
      </w:r>
      <w:r>
        <w:tab/>
      </w:r>
      <w:r>
        <w:t>05/2016</w:t>
      </w:r>
    </w:p>
    <w:p>
      <w:pPr>
        <w:pStyle w:val="RISEntrySub"/>
      </w:pPr>
      <w:r>
        <w:t>Example Language Testing Board</w:t>
      </w:r>
    </w:p>
    <w:p>
      <w:pPr>
        <w:pStyle w:val="RISMeta"/>
      </w:pPr>
      <w:r>
        <w:rPr>
          <w:b/>
        </w:rPr>
        <w:t xml:space="preserve">Result: </w:t>
      </w:r>
      <w:r>
        <w:t>Overall band 8.0</w:t>
      </w:r>
    </w:p>
    <w:p>
      <w:pPr>
        <w:pStyle w:val="RISMeta"/>
      </w:pPr>
      <w:r>
        <w:rPr>
          <w:b/>
        </w:rPr>
        <w:t xml:space="preserve">Expired: </w:t>
      </w:r>
      <w:r>
        <w:t>05/2018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11. WORKSHOPS, SEMINARS &amp; CONFERENCES ATTENDED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3705"/>
        <w:gridCol w:w="3120"/>
        <w:gridCol w:w="1755"/>
        <w:gridCol w:w="1170"/>
      </w:tblGrid>
      <w:tr>
        <w:trPr>
          <w:tblHeader/>
        </w:trPr>
        <w:tc>
          <w:tcPr>
            <w:tcW w:type="dxa" w:w="3705"/>
            <w:shd w:val="clear" w:color="auto" w:fill="E7E7E7"/>
          </w:tcPr>
          <w:p>
            <w:pPr>
              <w:pStyle w:val="RISTableHead"/>
            </w:pPr>
            <w:r>
              <w:t>Programme / course</w:t>
            </w:r>
          </w:p>
        </w:tc>
        <w:tc>
          <w:tcPr>
            <w:tcW w:type="dxa" w:w="3120"/>
            <w:shd w:val="clear" w:color="auto" w:fill="E7E7E7"/>
          </w:tcPr>
          <w:p>
            <w:pPr>
              <w:pStyle w:val="RISTableHead"/>
            </w:pPr>
            <w:r>
              <w:t>Institute / sponsor</w:t>
            </w:r>
          </w:p>
        </w:tc>
        <w:tc>
          <w:tcPr>
            <w:tcW w:type="dxa" w:w="1755"/>
            <w:shd w:val="clear" w:color="auto" w:fill="E7E7E7"/>
          </w:tcPr>
          <w:p>
            <w:pPr>
              <w:pStyle w:val="RISTableHead"/>
            </w:pPr>
            <w:r>
              <w:t>Period</w:t>
            </w:r>
          </w:p>
        </w:tc>
        <w:tc>
          <w:tcPr>
            <w:tcW w:type="dxa" w:w="1170"/>
            <w:shd w:val="clear" w:color="auto" w:fill="E7E7E7"/>
          </w:tcPr>
          <w:p>
            <w:pPr>
              <w:pStyle w:val="RISTableHead"/>
            </w:pPr>
            <w:r>
              <w:t>Duration</w:t>
            </w:r>
          </w:p>
        </w:tc>
      </w:tr>
      <w:tr>
        <w:tc>
          <w:tcPr>
            <w:tcW w:type="dxa" w:w="3705"/>
          </w:tcPr>
          <w:p>
            <w:pPr>
              <w:pStyle w:val="RISTableText"/>
            </w:pPr>
            <w:r>
              <w:t>Workshop on Efficient Deep Learning for Embedded Vision</w:t>
            </w:r>
          </w:p>
        </w:tc>
        <w:tc>
          <w:tcPr>
            <w:tcW w:type="dxa" w:w="3120"/>
          </w:tcPr>
          <w:p>
            <w:pPr>
              <w:pStyle w:val="RISTableText"/>
            </w:pPr>
            <w:r>
              <w:t>Example Conference on Instrumentation (ECI 2023)</w:t>
            </w:r>
          </w:p>
        </w:tc>
        <w:tc>
          <w:tcPr>
            <w:tcW w:type="dxa" w:w="1755"/>
          </w:tcPr>
          <w:p>
            <w:pPr>
              <w:pStyle w:val="RISTableText"/>
            </w:pPr>
            <w:r>
              <w:t>12/2023</w:t>
            </w:r>
          </w:p>
        </w:tc>
        <w:tc>
          <w:tcPr>
            <w:tcW w:type="dxa" w:w="1170"/>
          </w:tcPr>
          <w:p>
            <w:pPr>
              <w:pStyle w:val="RISTableText"/>
            </w:pPr>
            <w:r>
              <w:t>2 days</w:t>
            </w:r>
          </w:p>
        </w:tc>
      </w:tr>
      <w:tr>
        <w:tc>
          <w:tcPr>
            <w:tcW w:type="dxa" w:w="3705"/>
          </w:tcPr>
          <w:p>
            <w:pPr>
              <w:pStyle w:val="RISTableText"/>
            </w:pPr>
            <w:r>
              <w:t>National Seminar on Upper-Air Observing Systems</w:t>
            </w:r>
          </w:p>
        </w:tc>
        <w:tc>
          <w:tcPr>
            <w:tcW w:type="dxa" w:w="3120"/>
          </w:tcPr>
          <w:p>
            <w:pPr>
              <w:pStyle w:val="RISTableText"/>
            </w:pPr>
            <w:r>
              <w:t>Example Society of Atmospheric Instrumentation</w:t>
            </w:r>
          </w:p>
        </w:tc>
        <w:tc>
          <w:tcPr>
            <w:tcW w:type="dxa" w:w="1755"/>
          </w:tcPr>
          <w:p>
            <w:pPr>
              <w:pStyle w:val="RISTableText"/>
            </w:pPr>
            <w:r>
              <w:t>08/2021</w:t>
            </w:r>
          </w:p>
        </w:tc>
        <w:tc>
          <w:tcPr>
            <w:tcW w:type="dxa" w:w="1170"/>
          </w:tcPr>
          <w:p>
            <w:pPr>
              <w:pStyle w:val="RISTableText"/>
            </w:pPr>
            <w:r>
              <w:t>1 day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12. AWARDS &amp; HONOURS</w:t>
      </w:r>
    </w:p>
    <w:p>
      <w:pPr>
        <w:pStyle w:val="Heading2"/>
        <w:tabs>
          <w:tab w:pos="9741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13. ADDITIONAL RESPONSIBILITIES AND COMMITTEES</w:t>
      </w:r>
    </w:p>
    <w:p>
      <w:pPr>
        <w:pStyle w:val="Heading2"/>
        <w:tabs>
          <w:tab w:pos="9741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Chair, Technical Evaluation Committee for radiosonde procurement</w:t>
      </w:r>
      <w:r>
        <w:tab/>
      </w:r>
      <w:r>
        <w:t>04/2023 – 02/2024</w:t>
      </w:r>
    </w:p>
    <w:p>
      <w:pPr>
        <w:pStyle w:val="RISEntrySub"/>
      </w:pPr>
      <w: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14. DECLARATION</w:t>
      </w:r>
    </w:p>
    <w:p>
      <w:pPr>
        <w:pStyle w:val="RISDeclaration"/>
      </w:pPr>
      <w:r>
        <w:t>I hereby declare that the particulars furnished above are true, complete and correct to the best of my knowledge and belief.</w:t>
      </w:r>
    </w:p>
    <w:p>
      <w:pPr>
        <w:spacing w:before="0" w:after="0" w:lineRule="exact" w:line="280"/>
      </w:pPr>
      <w:r>
        <w:rPr>
          <w:sz w:val="2"/>
        </w:rPr>
      </w:r>
    </w:p>
    <w:p>
      <w:pPr>
        <w:pStyle w:val="RISBody"/>
      </w:pPr>
      <w:r>
        <w:t>Place: New Delhi</w:t>
      </w:r>
    </w:p>
    <w:p>
      <w:pPr>
        <w:pStyle w:val="RISBody"/>
        <w:tabs>
          <w:tab w:pos="9741" w:val="right"/>
        </w:tabs>
      </w:pPr>
      <w:r>
        <w:t>Date:</w:t>
      </w:r>
      <w:r>
        <w:tab/>
      </w:r>
      <w:r>
        <w:t>(Signature)</w:t>
      </w:r>
    </w:p>
    <w:p>
      <w:pPr>
        <w:pStyle w:val="RISBody"/>
        <w:tabs>
          <w:tab w:pos="9741" w:val="right"/>
        </w:tabs>
      </w:pPr>
      <w:r/>
      <w:r>
        <w:tab/>
      </w:r>
      <w:r>
        <w:rPr>
          <w:b/>
        </w:rPr>
        <w:t>Anika Sharma</w:t>
      </w:r>
    </w:p>
    <w:sectPr w:rsidR="00FC693F" w:rsidRPr="0006063C" w:rsidSect="00034616">
      <w:footerReference w:type="default" r:id="rId13"/>
      <w:pgSz w:w="11906" w:h="16838"/>
      <w:pgMar w:top="1020" w:right="1020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  <w:spacing w:before="0" w:after="0"/>
    </w:pPr>
    <w:r>
      <w:rPr>
        <w:rFonts w:ascii="Times New Roman" w:hAnsi="Times New Roman" w:eastAsia="Times New Roman" w:cs="Times New Roman"/>
        <w:color w:val="222222"/>
        <w:sz w:val="18"/>
      </w:rPr>
      <w:tab/>
    </w:r>
    <w:r>
      <w:rPr>
        <w:rFonts w:ascii="Times New Roman" w:hAnsi="Times New Roman" w:eastAsia="Times New Roman" w:cs="Times New Roman"/>
        <w:color w:val="222222"/>
        <w:sz w:val="18"/>
      </w:rPr>
      <w:t xml:space="preserve">Page </w:t>
    </w:r>
    <w:r>
      <w:rPr>
        <w:rFonts w:ascii="Times New Roman" w:hAnsi="Times New Roman" w:eastAsia="Times New Roman" w:cs="Times New Roman"/>
        <w:color w:val="222222"/>
        <w:sz w:val="18"/>
      </w:rPr>
      <w:fldChar w:fldCharType="begin"/>
    </w:r>
    <w:r>
      <w:rPr>
        <w:rFonts w:ascii="Times New Roman" w:hAnsi="Times New Roman" w:eastAsia="Times New Roman" w:cs="Times New Roman"/>
        <w:color w:val="222222"/>
        <w:sz w:val="18"/>
      </w:rPr>
      <w:instrText xml:space="preserve"> PAGE </w:instrText>
    </w:r>
    <w:r>
      <w:rPr>
        <w:rFonts w:ascii="Times New Roman" w:hAnsi="Times New Roman" w:eastAsia="Times New Roman" w:cs="Times New Roman"/>
        <w:color w:val="222222"/>
        <w:sz w:val="18"/>
      </w:rPr>
      <w:fldChar w:fldCharType="separate"/>
    </w:r>
    <w:r>
      <w:rPr>
        <w:rFonts w:ascii="Times New Roman" w:hAnsi="Times New Roman" w:eastAsia="Times New Roman" w:cs="Times New Roman"/>
        <w:color w:val="222222"/>
        <w:sz w:val="18"/>
      </w:rPr>
      <w:t>1</w:t>
    </w:r>
    <w:r>
      <w:rPr>
        <w:rFonts w:ascii="Times New Roman" w:hAnsi="Times New Roman" w:eastAsia="Times New Roman" w:cs="Times New Roman"/>
        <w:color w:val="222222"/>
        <w:sz w:val="18"/>
      </w:rPr>
      <w:fldChar w:fldCharType="end"/>
    </w:r>
    <w:r>
      <w:rPr>
        <w:rFonts w:ascii="Times New Roman" w:hAnsi="Times New Roman" w:eastAsia="Times New Roman" w:cs="Times New Roman"/>
        <w:color w:val="222222"/>
        <w:sz w:val="18"/>
      </w:rPr>
      <w:t xml:space="preserve"> of </w:t>
    </w:r>
    <w:r>
      <w:rPr>
        <w:rFonts w:ascii="Times New Roman" w:hAnsi="Times New Roman" w:eastAsia="Times New Roman" w:cs="Times New Roman"/>
        <w:color w:val="222222"/>
        <w:sz w:val="18"/>
      </w:rPr>
      <w:fldChar w:fldCharType="begin"/>
    </w:r>
    <w:r>
      <w:rPr>
        <w:rFonts w:ascii="Times New Roman" w:hAnsi="Times New Roman" w:eastAsia="Times New Roman" w:cs="Times New Roman"/>
        <w:color w:val="222222"/>
        <w:sz w:val="18"/>
      </w:rPr>
      <w:instrText xml:space="preserve"> NUMPAGES </w:instrText>
    </w:r>
    <w:r>
      <w:rPr>
        <w:rFonts w:ascii="Times New Roman" w:hAnsi="Times New Roman" w:eastAsia="Times New Roman" w:cs="Times New Roman"/>
        <w:color w:val="222222"/>
        <w:sz w:val="18"/>
      </w:rPr>
      <w:fldChar w:fldCharType="separate"/>
    </w:r>
    <w:r>
      <w:rPr>
        <w:rFonts w:ascii="Times New Roman" w:hAnsi="Times New Roman" w:eastAsia="Times New Roman" w:cs="Times New Roman"/>
        <w:color w:val="222222"/>
        <w:sz w:val="18"/>
      </w:rPr>
      <w:t>1</w:t>
    </w:r>
    <w:r>
      <w:rPr>
        <w:rFonts w:ascii="Times New Roman" w:hAnsi="Times New Roman" w:eastAsia="Times New Roman" w:cs="Times New Roman"/>
        <w:color w:val="222222"/>
        <w:sz w:val="18"/>
      </w:rPr>
      <w:fldChar w:fldCharType="end"/>
    </w:r>
  </w:p>
  <w:p>
    <w:pPr>
      <w:spacing w:before="20"/>
      <w:jc w:val="center"/>
    </w:pPr>
    <w:r>
      <w:rPr>
        <w:rFonts w:ascii="Times New Roman" w:hAnsi="Times New Roman" w:eastAsia="Times New Roman" w:cs="Times New Roman"/>
        <w:i/>
        <w:color w:val="222222"/>
        <w:sz w:val="18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Times New Roman" w:hAnsi="Times New Roman" w:eastAsia="Times New Roman" w:cs="Times New Roman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Times New Roman" w:hAnsi="Times New Roman" w:eastAsia="Times New Roman" w:cs="Times New Roman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bCs/>
      <w:i w:val="0"/>
      <w:caps w:val="0"/>
      <w:smallCaps w:val="0"/>
      <w:color w:val="000000"/>
      <w:sz w:val="23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Times New Roman" w:hAnsi="Times New Roman" w:eastAsia="Times New Roman" w:cs="Times New Roman"/>
      <w:b w:val="0"/>
      <w:bCs/>
      <w:i w:val="0"/>
      <w:caps w:val="0"/>
      <w:smallCaps w:val="0"/>
      <w:color w:val="000000"/>
      <w:sz w:val="22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pacing w:val="10"/>
      <w:kern w:val="28"/>
      <w:sz w:val="2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6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22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19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19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2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FFFFFF"/>
      <w:sz w:val="2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37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 w:val="0"/>
      <w:i/>
      <w:caps w:val="0"/>
      <w:smallCaps w:val="0"/>
      <w:color w:val="222222"/>
      <w:sz w:val="17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0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doi.org/10.5555/jevs.2024.0123" TargetMode="External"/><Relationship Id="rId12" Type="http://schemas.openxmlformats.org/officeDocument/2006/relationships/hyperlink" Target="https://doi.org/10.5555/ejai.2021.0042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Government bio-data (deputation style)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2026-10-25T09:39:51Z</dcterms:created>
  <dcterms:modified xsi:type="dcterms:W3CDTF">2026-10-25T09:39:51Z</dcterms:modified>
  <cp:category>Resume</cp:category>
  <dc:language>en-IN</dc:language>
</cp:coreProperties>
</file>