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r>
        <w:rPr>
          <w:rFonts w:ascii="DejaVu Sans" w:hAnsi="DejaVu Sans" w:eastAsia="DejaVu Sans" w:cs="DejaVu Sans"/>
          <w:color w:val="1F3A68"/>
        </w:rPr>
        <w:t xml:space="preserve">✉ </w:t>
      </w:r>
      <w:hyperlink r:id="rId9" w:history="1">
        <w:r>
          <w:rPr>
            <w:color w:val="1F3A68"/>
          </w:rPr>
          <w:t>anika.sharma@example.org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☎ </w:t>
      </w:r>
      <w:hyperlink r:id="rId10" w:history="1">
        <w:r>
          <w:rPr>
            <w:color w:val="1F3A68"/>
          </w:rPr>
          <w:t>+91 00000 12345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⌂ </w:t>
      </w:r>
      <w:r>
        <w:t>New Delhi, India</w:t>
      </w:r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➤ </w:t>
      </w:r>
      <w:hyperlink r:id="rId11" w:history="1">
        <w:r>
          <w:rPr>
            <w:color w:val="1F3A68"/>
          </w:rPr>
          <w:t>ORCID 0000-0002-1825-0097</w:t>
        </w:r>
      </w:hyperlink>
      <w:r>
        <w:rPr>
          <w:color w:val="4E566B"/>
        </w:rPr>
        <w:t xml:space="preserve">    </w:t>
      </w:r>
      <w:r>
        <w:rPr>
          <w:rFonts w:ascii="DejaVu Sans" w:hAnsi="DejaVu Sans" w:eastAsia="DejaVu Sans" w:cs="DejaVu Sans"/>
          <w:color w:val="1F3A68"/>
        </w:rPr>
        <w:t xml:space="preserve">➤ </w:t>
      </w:r>
      <w:hyperlink r:id="rId12" w:history="1">
        <w:r>
          <w:rPr>
            <w:color w:val="1F3A68"/>
          </w:rPr>
          <w:t>anika-sharma.example.org</w:t>
        </w:r>
      </w:hyperlink>
    </w:p>
    <w:p>
      <w:pPr>
        <w:pBdr>
          <w:bottom w:val="single" w:sz="16" w:space="0" w:color="1F3A68"/>
        </w:pBdr>
        <w:spacing w:before="60" w:after="80" w:lineRule="exact" w:line="20"/>
      </w:pP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Profile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at a Glance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single" w:sz="32" w:space="0" w:color="FFFFFF"/>
          <w:left w:val="single" w:sz="32" w:space="0" w:color="FFFFFF"/>
          <w:bottom w:val="single" w:sz="32" w:space="0" w:color="FFFFFF"/>
          <w:right w:val="single" w:sz="32" w:space="0" w:color="FFFFFF"/>
          <w:insideH w:val="single" w:sz="32" w:space="0" w:color="FFFFFF"/>
          <w:insideV w:val="single" w:sz="32" w:space="0" w:color="FFFFFF"/>
        </w:tblBorders>
        <w:tblCellMar>
          <w:top w:w="48" w:type="dxa"/>
          <w:left w:w="80" w:type="dxa"/>
          <w:bottom w:w="48" w:type="dxa"/>
          <w:right w:w="80" w:type="dxa"/>
        </w:tblCellMar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3</w:t>
            </w:r>
          </w:p>
          <w:p>
            <w:pPr>
              <w:pStyle w:val="RISTileLabel"/>
            </w:pPr>
            <w:r>
              <w:t>Journal articles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3</w:t>
            </w:r>
          </w:p>
          <w:p>
            <w:pPr>
              <w:pStyle w:val="RISTileLabel"/>
            </w:pPr>
            <w:r>
              <w:t>Conference papers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Manuscript under review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Research grant</w:t>
            </w:r>
          </w:p>
        </w:tc>
      </w:tr>
      <w:tr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</w:t>
            </w:r>
          </w:p>
          <w:p>
            <w:pPr>
              <w:pStyle w:val="RISTileLabel"/>
            </w:pPr>
            <w:r>
              <w:t>Talk / presentation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142</w:t>
            </w:r>
          </w:p>
          <w:p>
            <w:pPr>
              <w:pStyle w:val="RISTileLabel"/>
            </w:pPr>
            <w:r>
              <w:t>Citations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6</w:t>
            </w:r>
          </w:p>
          <w:p>
            <w:pPr>
              <w:pStyle w:val="RISTileLabel"/>
            </w:pPr>
            <w:r>
              <w:t>h-index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  <w:tc>
          <w:tcPr>
            <w:tcW w:type="dxa" w:w="2494"/>
            <w:shd w:val="clear" w:color="auto" w:fill="EDF1F8"/>
          </w:tcPr>
          <w:p>
            <w:pPr>
              <w:pStyle w:val="RISTileValue"/>
            </w:pPr>
            <w:r>
              <w:t>4</w:t>
            </w:r>
          </w:p>
          <w:p>
            <w:pPr>
              <w:pStyle w:val="RISTileLabel"/>
            </w:pPr>
            <w:r>
              <w:t>i10-index</w:t>
            </w:r>
          </w:p>
          <w:p>
            <w:pPr>
              <w:pStyle w:val="RISTileCaption"/>
            </w:pPr>
            <w:r>
              <w:t>Google Scholar (fictional example), Oct 2026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80"/>
      </w:pPr>
      <w:r>
        <w:rPr>
          <w:sz w:val="2"/>
        </w:rPr>
      </w:r>
    </w:p>
    <w:p>
      <w:pPr>
        <w:keepNext w:val="0"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36000" cy="1654857"/>
            <wp:docPr id="1" name="Picture 1" descr="Publications per year: 2021: 1 journal; 2022: 1 conference; 2023: 1 conference; 2024: 1 journal; 2025: 1 conference, 1 journal" title="Publications per ye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165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ISMeta"/>
      </w:pPr>
      <w:r>
        <w:rPr>
          <w:i/>
        </w:rPr>
        <w:t>Published and accepted outputs by year (from your publication records).</w:t>
      </w:r>
    </w:p>
    <w:p>
      <w:pPr>
        <w:spacing w:before="0" w:after="0" w:lineRule="exact" w:line="4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Peer-reviewed 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4" w:history="1">
        <w:r>
          <w:rPr>
            <w:color w:val="1F3A6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5" w:history="1">
        <w:r>
          <w:rPr>
            <w:color w:val="1F3A68"/>
          </w:rPr>
          <w:t xml:space="preserve"> doi: 10.5555/ejai.2021.0042</w:t>
        </w:r>
      </w:hyperlink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E566B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E566B"/>
        </w:rPr>
        <w:t xml:space="preserve"> [In preparation]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Grants &amp; Funding</w:t>
      </w:r>
    </w:p>
    <w:p>
      <w:pPr>
        <w:pStyle w:val="Heading2"/>
        <w:tabs>
          <w:tab w:pos="9968" w:val="right"/>
        </w:tabs>
      </w:pPr>
      <w:r>
        <w:rPr>
          <w:b/>
        </w:rPr>
        <w:t>Seed grant: edge-AI enhancement of aerial imagery</w:t>
      </w:r>
      <w:r>
        <w:rPr>
          <w:i/>
          <w:color w:val="4E566B"/>
        </w:rPr>
        <w:t xml:space="preserve"> (Completed)</w:t>
      </w:r>
      <w:r>
        <w:tab/>
      </w:r>
      <w:r>
        <w:t>Apr 2023 – Mar 2025</w:t>
      </w:r>
    </w:p>
    <w:p>
      <w:pPr>
        <w:pStyle w:val="RISEntrySub"/>
      </w:pPr>
      <w:r>
        <w:rPr>
          <w:i/>
        </w:rPr>
        <w:t>Principal investigator, Example Science Foundation (fictional)</w:t>
      </w:r>
    </w:p>
    <w:p>
      <w:pPr>
        <w:pStyle w:val="RISBody"/>
      </w:pPr>
      <w:r>
        <w:t>Two-year seed project on lightweight super-resolution networks for embedded GPUs.</w:t>
      </w:r>
    </w:p>
    <w:p>
      <w:pPr>
        <w:pStyle w:val="RISMeta"/>
      </w:pPr>
      <w:r>
        <w:rPr>
          <w:b/>
        </w:rPr>
        <w:t xml:space="preserve">Reference: </w:t>
      </w:r>
      <w:r>
        <w:t>ESF/SEED/2023/017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Talks &amp; Presentations</w:t>
      </w:r>
    </w:p>
    <w:p>
      <w:pPr>
        <w:pStyle w:val="Heading2"/>
        <w:tabs>
          <w:tab w:pos="9968" w:val="right"/>
        </w:tabs>
      </w:pPr>
      <w:r>
        <w:rPr>
          <w:b/>
        </w:rPr>
        <w:t>Invited talk: Edge AI for atmospheric observation</w:t>
      </w:r>
      <w:r>
        <w:tab/>
      </w:r>
      <w:r>
        <w:t>2024</w:t>
      </w:r>
    </w:p>
    <w:p>
      <w:pPr>
        <w:pStyle w:val="RISEntrySub"/>
      </w:pPr>
      <w:r>
        <w:rPr>
          <w:i/>
        </w:rPr>
        <w:t>Example Symposium on Applied AI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Appointments</w:t>
      </w:r>
    </w:p>
    <w:p>
      <w:pPr>
        <w:pStyle w:val="Heading2"/>
        <w:tabs>
          <w:tab w:pos="9968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rPr>
          <w:i/>
        </w:rP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E566B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510" w:hanging="255"/>
      </w:pPr>
      <w:r>
        <w:t>Supervise technicians and plan preventive maintenance for workshop test equipment.</w:t>
      </w:r>
    </w:p>
    <w:p>
      <w:pPr>
        <w:pStyle w:val="RISBullet"/>
        <w:numPr>
          <w:ilvl w:val="1"/>
          <w:numId w:val="90"/>
        </w:numPr>
        <w:ind w:left="510" w:hanging="255"/>
      </w:pPr>
      <w:r>
        <w:t>Introduced a job-card and spares-inventory system for instrument repairs and calibration work.</w:t>
      </w:r>
    </w:p>
    <w:p>
      <w:pPr>
        <w:pStyle w:val="RISChildTitle"/>
        <w:tabs>
          <w:tab w:pos="9968" w:val="right"/>
        </w:tabs>
        <w:ind w:left="255"/>
      </w:pPr>
      <w:r>
        <w:rPr>
          <w:i/>
          <w:color w:val="4E566B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rPr>
          <w:i/>
        </w:rP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Planned environmental qualification (MIL-STD-810 vibration, temperature and humidity) for line-replaceable units and documented the test results.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Mentored graduate engineer trainees on avionics bus protocols and test documentation.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rPr>
          <w:i/>
        </w:rP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Research Projects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Edge super-resolution pipeline for UAV imagery</w:t>
            </w:r>
            <w:r>
              <w:rPr>
                <w:i/>
                <w:color w:val="4E566B"/>
              </w:rPr>
              <w:t xml:space="preserve"> (Ongoing)</w:t>
            </w:r>
            <w:r>
              <w:tab/>
            </w:r>
            <w:r>
              <w:rPr>
                <w:color w:val="4E566B"/>
              </w:rPr>
              <w:t>Sep 2021 – Present</w:t>
            </w:r>
          </w:p>
          <w:p>
            <w:pPr>
              <w:pStyle w:val="RISEntrySub"/>
            </w:pPr>
            <w:r>
              <w:rPr>
                <w:i/>
              </w:rPr>
              <w:t>Principal investigator, Kestrel Atmospheric Instrumentation Laboratory</w:t>
            </w:r>
          </w:p>
          <w:p>
            <w:pPr>
              <w:pStyle w:val="RISBody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Radiosonde ground-station acceptance test protocol</w:t>
            </w:r>
            <w:r>
              <w:tab/>
            </w:r>
            <w:r>
              <w:rPr>
                <w:color w:val="4E566B"/>
              </w:rPr>
              <w:t>Jan 2018 – Mar 2019</w:t>
            </w:r>
          </w:p>
          <w:p>
            <w:pPr>
              <w:pStyle w:val="RISEntrySub"/>
            </w:pPr>
            <w:r>
              <w:rPr>
                <w:i/>
              </w:rPr>
              <w:t>Coordinator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Challenge: </w:t>
            </w:r>
            <w:r>
              <w:t>Station acceptance testing varied between sites.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Outcome: </w:t>
            </w:r>
            <w:r>
              <w:t>A common acceptance protocol and checklist adopted for new ground-receiving systems.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84" w:type="dxa"/>
          <w:left w:w="140" w:type="dxa"/>
          <w:bottom w:w="84" w:type="dxa"/>
          <w:right w:w="140" w:type="dxa"/>
        </w:tblCellMar>
      </w:tblPr>
      <w:tblGrid>
        <w:gridCol w:w="9978"/>
      </w:tblGrid>
      <w:tr>
        <w:tc>
          <w:tcPr>
            <w:tcW w:type="dxa" w:w="9978"/>
            <w:shd w:val="clear" w:color="auto" w:fill="EDF1F8"/>
          </w:tcPr>
          <w:p>
            <w:pPr>
              <w:pStyle w:val="RISCardTitle"/>
              <w:tabs>
                <w:tab w:pos="9688" w:val="right"/>
              </w:tabs>
            </w:pPr>
            <w:r>
              <w:t>IoT monitoring of laboratory infrastructure</w:t>
            </w:r>
            <w:r>
              <w:tab/>
            </w:r>
            <w:r>
              <w:rPr>
                <w:color w:val="4E566B"/>
              </w:rPr>
              <w:t>Feb 2020 – Jun 2022</w:t>
            </w:r>
          </w:p>
          <w:p>
            <w:pPr>
              <w:pStyle w:val="RISEntrySub"/>
            </w:pPr>
            <w:r>
              <w:rPr>
                <w:i/>
              </w:rPr>
              <w:t>Project lead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Challenge: </w:t>
            </w:r>
            <w:r>
              <w:t>Instrument rooms lacked continuous environmental and power-quality monitoring.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Approach: </w:t>
            </w:r>
            <w:r>
              <w:t>Deployed ESP32 sensor nodes publishing over MQTT to a Node-RED flow, InfluxDB time-series storage and Grafana dashboards with threshold alerts.</w:t>
            </w:r>
          </w:p>
          <w:p>
            <w:pPr>
              <w:pStyle w:val="RISBody"/>
              <w:spacing w:after="30"/>
            </w:pPr>
            <w:r>
              <w:rPr>
                <w:b/>
                <w:color w:val="1F3A68"/>
              </w:rPr>
              <w:t xml:space="preserve">Outcome: </w:t>
            </w:r>
            <w:r>
              <w:t>Continuous monitoring with automated alerts replaced manual twice-daily readings.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ESP32, Environmental sensors, MQTT, Node-RED, InfluxDB, Grafana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Education</w:t>
      </w:r>
    </w:p>
    <w:p>
      <w:pPr>
        <w:pStyle w:val="Heading2"/>
        <w:tabs>
          <w:tab w:pos="9968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rPr>
          <w:i/>
        </w:rP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rPr>
          <w:i/>
        </w:rP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rPr>
          <w:i/>
        </w:rP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Professional Service</w:t>
      </w:r>
    </w:p>
    <w:p>
      <w:pPr>
        <w:pStyle w:val="Heading2"/>
        <w:tabs>
          <w:tab w:pos="9968" w:val="right"/>
        </w:tabs>
      </w:pPr>
      <w:r>
        <w:rPr>
          <w:b/>
        </w:rPr>
        <w:t>Reviewer, Example Journal of Atmospheric Instrumentation</w:t>
      </w:r>
      <w:r>
        <w:tab/>
      </w:r>
      <w:r>
        <w:t>2022 – Present</w:t>
      </w:r>
    </w:p>
    <w:p>
      <w:pPr>
        <w:pStyle w:val="RISEntrySub"/>
      </w:pPr>
      <w:r>
        <w:rPr>
          <w:i/>
        </w:rPr>
        <w:t>Example Journal of Atmospheric Instrumentation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Co-supervisor, two M.Tech. dissertations in embedded vision</w:t>
      </w:r>
      <w:r>
        <w:tab/>
      </w:r>
      <w:r>
        <w:t>2024 – 2025</w:t>
      </w:r>
    </w:p>
    <w:p>
      <w:pPr>
        <w:pStyle w:val="RISEntrySub"/>
      </w:pPr>
      <w:r>
        <w:rPr>
          <w:i/>
        </w:rPr>
        <w:t>Example Institute of Technology (fictional)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Awards &amp; Honours</w:t>
      </w:r>
    </w:p>
    <w:p>
      <w:pPr>
        <w:pStyle w:val="Heading2"/>
        <w:tabs>
          <w:tab w:pos="9968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Professional Memberships</w:t>
      </w:r>
    </w:p>
    <w:p>
      <w:pPr>
        <w:pStyle w:val="Heading2"/>
        <w:tabs>
          <w:tab w:pos="9968" w:val="right"/>
        </w:tabs>
      </w:pPr>
      <w:r>
        <w:rPr>
          <w:b/>
        </w:rPr>
        <w:t>Member, Institution of Example Engineers</w:t>
      </w:r>
      <w:r>
        <w:tab/>
      </w:r>
      <w:r>
        <w:t>2010 – Present</w:t>
      </w:r>
    </w:p>
    <w:p>
      <w:pPr>
        <w:pStyle w:val="RISEntrySub"/>
      </w:pPr>
      <w:r>
        <w:rPr>
          <w:i/>
        </w:rPr>
        <w:t>Institution of Example Engineers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Certifications &amp; Licences</w:t>
      </w:r>
    </w:p>
    <w:p>
      <w:pPr>
        <w:pStyle w:val="Heading2"/>
        <w:tabs>
          <w:tab w:pos="9968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rPr>
          <w:i/>
        </w:rPr>
        <w:t>Example Academy of Applied Computing</w:t>
      </w:r>
    </w:p>
    <w:p>
      <w:pPr>
        <w:pStyle w:val="RISBody"/>
      </w:pPr>
      <w:r>
        <w:t>Used the model-compression techniques to deploy the drone super-resolution model on Jetson modules.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pStyle w:val="RISMeta"/>
      </w:pPr>
      <w:r>
        <w:rPr>
          <w:b/>
        </w:rPr>
        <w:t xml:space="preserve">Mode: </w:t>
      </w:r>
      <w:r>
        <w:t>Online</w:t>
      </w:r>
    </w:p>
    <w:p>
      <w:pPr>
        <w:pStyle w:val="RISMeta"/>
      </w:pPr>
      <w:r>
        <w:rPr>
          <w:b/>
        </w:rPr>
        <w:t xml:space="preserve">Skills: </w:t>
      </w:r>
      <w:r>
        <w:t>Deep learning, Edge AI, TensorRT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Academic English proficiency test</w:t>
      </w:r>
      <w:r>
        <w:rPr>
          <w:i/>
          <w:color w:val="4E566B"/>
        </w:rPr>
        <w:t xml:space="preserve"> (Expired)</w:t>
      </w:r>
      <w:r>
        <w:tab/>
      </w:r>
      <w:r>
        <w:t>May 2016</w:t>
      </w:r>
    </w:p>
    <w:p>
      <w:pPr>
        <w:pStyle w:val="RISEntrySub"/>
      </w:pPr>
      <w:r>
        <w:rPr>
          <w:i/>
        </w:rPr>
        <w:t>Example Language Testing Board</w:t>
      </w:r>
    </w:p>
    <w:p>
      <w:pPr>
        <w:pStyle w:val="RISMeta"/>
      </w:pPr>
      <w:r>
        <w:rPr>
          <w:b/>
        </w:rPr>
        <w:t xml:space="preserve">Result: </w:t>
      </w:r>
      <w:r>
        <w:t>Overall band 8.0</w:t>
      </w:r>
    </w:p>
    <w:p>
      <w:pPr>
        <w:pStyle w:val="RISMeta"/>
      </w:pPr>
      <w:r>
        <w:rPr>
          <w:b/>
        </w:rPr>
        <w:t xml:space="preserve">Expired: </w:t>
      </w:r>
      <w:r>
        <w:t>May 2018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Workshops, Seminars &amp; Conferences Attended</w:t>
      </w:r>
    </w:p>
    <w:p>
      <w:pPr>
        <w:pStyle w:val="Heading2"/>
        <w:tabs>
          <w:tab w:pos="9968" w:val="right"/>
        </w:tabs>
      </w:pPr>
      <w:r>
        <w:rPr>
          <w:b/>
        </w:rPr>
        <w:t>Workshop on Efficient Deep Learning for Embedded Vision</w:t>
      </w:r>
      <w:r>
        <w:tab/>
      </w:r>
      <w:r>
        <w:t>Dec 2023</w:t>
      </w:r>
    </w:p>
    <w:p>
      <w:pPr>
        <w:pStyle w:val="RISEntrySub"/>
      </w:pPr>
      <w:r>
        <w:rPr>
          <w:i/>
        </w:rPr>
        <w:t>Example Conference on Instrumentation (ECI 2023)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2"/>
        <w:tabs>
          <w:tab w:pos="9968" w:val="right"/>
        </w:tabs>
      </w:pPr>
      <w:r>
        <w:rPr>
          <w:b/>
        </w:rPr>
        <w:t>National Seminar on Upper-Air Observing Systems</w:t>
      </w:r>
      <w:r>
        <w:tab/>
      </w:r>
      <w:r>
        <w:t>Aug 2021</w:t>
      </w:r>
    </w:p>
    <w:p>
      <w:pPr>
        <w:pStyle w:val="RISEntrySub"/>
      </w:pPr>
      <w:r>
        <w:rPr>
          <w:i/>
        </w:rPr>
        <w:t>Example Society of Atmospheric Instrumentation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100"/>
      </w:pPr>
      <w:r>
        <w:rPr>
          <w:sz w:val="2"/>
        </w:rPr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Technical Skills</w:t>
      </w:r>
    </w:p>
    <w:p>
      <w:pPr>
        <w:pStyle w:val="RISBarLabel"/>
      </w:pPr>
      <w:r>
        <w:rPr>
          <w:color w:val="1F3A68"/>
        </w:rPr>
        <w:t>Avionics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MIL-STD-1553 / ARINC 429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" name="Picture 2" descr="MIL-STD-1553 / ARINC 429: 4 of 5 (self-assessed)" title="MIL-STD-1553 / ARINC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Avionics integration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3" name="Picture 3" descr="Avionics integration: 4 of 5 (self-assessed)" title="Avionics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Scientific instrumentation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Environmental qualification testing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4" name="Picture 4" descr="Environmental qualification testing: 3 of 5 (self-assessed)" title="Environmental qualification tes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Sensor calibration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5" name="Picture 5" descr="Sensor calibration: 3 of 5 (self-assessed)" title="Sensor calib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975"/>
          </w:tcPr>
          <w:p>
            <w:pPr>
              <w:pStyle w:val="RISTableText"/>
            </w:pPr>
            <w:r>
              <w:t>Radiosonde and upper-air systems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6" name="Picture 6" descr="Radiosonde and upper-air systems: 4 of 5 (self-assessed)" title="Radiosonde and upper-air system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Embedded systems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Embedded C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7" name="Picture 7" descr="Embedded C: 3 of 5 (self-assessed)" title="Embedded C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ESP32 / STM32 microcontrollers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8" name="Picture 8" descr="ESP32 / STM32 microcontrollers: 2 of 5 (self-assessed)" title="ESP32 / STM32 microcontroller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Computer vision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Image super-resolution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9" name="Picture 9" descr="Image super-resolution: 4 of 5 (self-assessed)" title="Image super-resolu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Object detection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0" name="Picture 10" descr="Object detection: 3 of 5 (self-assessed)" title="Object detec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Drones &amp; UAV systems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UAV payload integration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1" name="Picture 11" descr="UAV payload integration: 3 of 5 (self-assessed)" title="UAV payload integr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Edge AI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NVIDIA Jetson deployment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2" name="Picture 12" descr="NVIDIA Jetson deployment: 4 of 5 (self-assessed)" title="NVIDIA Jetson deployme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AI / machine learning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Deep learning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3" name="Picture 13" descr="Deep learning: 4 of 5 (self-assessed)" title="Deep learn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PyTorch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4" name="Picture 14" descr="PyTorch: 4 of 5 (self-assessed)" title="PyTorch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Procurement &amp; administration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Technical procurement (GeM, GFR)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5" name="Picture 15" descr="Technical procurement (GeM, GFR): 3 of 5 (self-assessed)" title="Technical procurement (GeM, GFR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IoT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MQTT and Node-RED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6" name="Picture 16" descr="MQTT and Node-RED: 4 of 5 (self-assessed)" title="MQTT and Node-RE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InfluxDB and Grafana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7" name="Picture 17" descr="InfluxDB and Grafana: 3 of 5 (self-assessed)" title="InfluxDB and Grafan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Model optimisation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TensorRT and ONNX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8" name="Picture 18" descr="TensorRT and ONNX: 4 of 5 (self-assessed)" title="TensorRT and ONN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Pruning and knowledge distillation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19" name="Picture 19" descr="Pruning and knowledge distillation: 4 of 5 (self-assessed)" title="Pruning and knowledge distillati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Software &amp; tools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Python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0" name="Picture 20" descr="Python: 4 of 5 (self-assessed)" title="Pyth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>
              <w:t>Docker and Linux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1" name="Picture 21" descr="Docker and Linux: 3 of 5 (self-assessed)" title="Docker and Linu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Technical leadership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Team leadership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2" name="Picture 22" descr="Team leadership: 3 of 5 (self-assessed)" title="Team leadership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BarLabel"/>
      </w:pPr>
      <w:r>
        <w:rPr>
          <w:color w:val="1F3A68"/>
        </w:rPr>
        <w:t>GPU computing</w:t>
      </w:r>
    </w:p>
    <w:tbl>
      <w:tblPr>
        <w:tblW w:type="dxa" w:w="9978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9" w:type="dxa"/>
          <w:left w:w="32" w:type="dxa"/>
          <w:bottom w:w="19" w:type="dxa"/>
          <w:right w:w="32" w:type="dxa"/>
        </w:tblCellMar>
      </w:tblPr>
      <w:tblGrid>
        <w:gridCol w:w="2975"/>
        <w:gridCol w:w="2014"/>
        <w:gridCol w:w="2975"/>
        <w:gridCol w:w="2014"/>
      </w:tblGrid>
      <w:tr>
        <w:tc>
          <w:tcPr>
            <w:tcW w:type="dxa" w:w="2975"/>
          </w:tcPr>
          <w:p>
            <w:pPr>
              <w:pStyle w:val="RISTableText"/>
            </w:pPr>
            <w:r>
              <w:t>CUDA / GPU computing</w:t>
            </w:r>
          </w:p>
        </w:tc>
        <w:tc>
          <w:tcPr>
            <w:tcW w:type="dxa" w:w="2014"/>
          </w:tcPr>
          <w:p/>
          <w:p>
            <w:pPr>
              <w:keepNext w:val="0"/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152000" cy="51810"/>
                  <wp:docPr id="23" name="Picture 23" descr="CUDA / GPU computing: 2 of 5 (self-assessed)" title="CUDA / GPU computi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518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75"/>
          </w:tcPr>
          <w:p>
            <w:pPr>
              <w:pStyle w:val="RISTableText"/>
            </w:pPr>
            <w:r/>
          </w:p>
        </w:tc>
        <w:tc>
          <w:tcPr>
            <w:tcW w:type="dxa" w:w="2014"/>
          </w:tcPr>
          <w:p>
            <w:pPr>
              <w:pStyle w:val="RISTableText"/>
            </w:pPr>
            <w:r/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40"/>
      </w:pPr>
      <w:r>
        <w:rPr>
          <w:sz w:val="2"/>
        </w:rPr>
      </w:r>
    </w:p>
    <w:p>
      <w:pPr>
        <w:pStyle w:val="RISMeta"/>
      </w:pPr>
      <w:r>
        <w:rPr>
          <w:i/>
        </w:rPr>
        <w:t>Bars show my own assessment of proficiency (five steps; five = expert).</w:t>
      </w:r>
    </w:p>
    <w:p>
      <w:pPr>
        <w:pStyle w:val="Heading1"/>
        <w:pBdr>
          <w:bottom w:val="single" w:sz="5" w:space="2" w:color="1F3A68"/>
        </w:pBdr>
      </w:pPr>
      <w:r>
        <w:rPr>
          <w:smallCaps/>
        </w:rPr>
        <w:t>Referees</w:t>
      </w:r>
    </w:p>
    <w:p>
      <w:pPr>
        <w:pStyle w:val="Heading2"/>
      </w:pPr>
      <w:r>
        <w:rPr>
          <w:b/>
        </w:rPr>
        <w:t>Dr. R. Iyer (fictional)</w:t>
      </w:r>
    </w:p>
    <w:p>
      <w:pPr>
        <w:pStyle w:val="RISEntrySub"/>
      </w:pPr>
      <w:r>
        <w:rPr>
          <w:i/>
        </w:rPr>
        <w:t>Professor of Electronics, Example Institute of Technology</w:t>
      </w:r>
    </w:p>
    <w:p>
      <w:pPr>
        <w:pStyle w:val="RISBody"/>
      </w:pPr>
      <w:r>
        <w:t>Research collaborator and co-author</w:t>
      </w:r>
    </w:p>
    <w:p>
      <w:pPr>
        <w:pStyle w:val="RISMeta"/>
      </w:pPr>
      <w:r>
        <w:rPr>
          <w:b/>
        </w:rPr>
        <w:t xml:space="preserve">Email: </w:t>
      </w:r>
      <w:r>
        <w:t>r.iyer@example.org</w:t>
      </w:r>
    </w:p>
    <w:p>
      <w:pPr>
        <w:pStyle w:val="RISMeta"/>
      </w:pPr>
      <w:r>
        <w:rPr>
          <w:b/>
        </w:rPr>
        <w:t xml:space="preserve">Telephone: </w:t>
      </w:r>
      <w:r>
        <w:t>+91 00000 54321</w:t>
      </w:r>
    </w:p>
    <w:p>
      <w:pPr>
        <w:spacing w:before="0" w:after="0" w:lineRule="exact" w:line="100"/>
      </w:pPr>
      <w:r>
        <w:rPr>
          <w:sz w:val="2"/>
        </w:rPr>
      </w:r>
    </w:p>
    <w:sectPr w:rsidR="00FC693F" w:rsidRPr="0006063C" w:rsidSect="00034616">
      <w:footerReference w:type="default" r:id="rId19"/>
      <w:pgSz w:w="11906" w:h="16838"/>
      <w:pgMar w:top="794" w:right="964" w:bottom="850" w:left="964" w:header="397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78" w:val="right"/>
      </w:tabs>
      <w:spacing w:before="0" w:after="0"/>
    </w:pPr>
    <w:r>
      <w:rPr>
        <w:rFonts w:ascii="Calibri" w:hAnsi="Calibri" w:eastAsia="Calibri" w:cs="Calibri"/>
        <w:color w:val="4E566B"/>
        <w:sz w:val="16"/>
      </w:rPr>
      <w:t>Dr. Anika Sharma</w:t>
    </w:r>
    <w:r>
      <w:rPr>
        <w:rFonts w:ascii="Calibri" w:hAnsi="Calibri" w:eastAsia="Calibri" w:cs="Calibri"/>
        <w:color w:val="4E566B"/>
        <w:sz w:val="16"/>
      </w:rPr>
      <w:tab/>
    </w:r>
    <w:r>
      <w:rPr>
        <w:rFonts w:ascii="Calibri" w:hAnsi="Calibri" w:eastAsia="Calibri" w:cs="Calibri"/>
        <w:color w:val="4E566B"/>
        <w:sz w:val="16"/>
      </w:rPr>
      <w:t xml:space="preserve">Page </w:t>
    </w:r>
    <w:r>
      <w:rPr>
        <w:rFonts w:ascii="Calibri" w:hAnsi="Calibri" w:eastAsia="Calibri" w:cs="Calibri"/>
        <w:color w:val="4E566B"/>
        <w:sz w:val="16"/>
      </w:rPr>
      <w:fldChar w:fldCharType="begin"/>
    </w:r>
    <w:r>
      <w:rPr>
        <w:rFonts w:ascii="Calibri" w:hAnsi="Calibri" w:eastAsia="Calibri" w:cs="Calibri"/>
        <w:color w:val="4E566B"/>
        <w:sz w:val="16"/>
      </w:rPr>
      <w:instrText xml:space="preserve"> PAGE </w:instrText>
    </w:r>
    <w:r>
      <w:rPr>
        <w:rFonts w:ascii="Calibri" w:hAnsi="Calibri" w:eastAsia="Calibri" w:cs="Calibri"/>
        <w:color w:val="4E566B"/>
        <w:sz w:val="16"/>
      </w:rPr>
      <w:fldChar w:fldCharType="separate"/>
    </w:r>
    <w:r>
      <w:rPr>
        <w:rFonts w:ascii="Calibri" w:hAnsi="Calibri" w:eastAsia="Calibri" w:cs="Calibri"/>
        <w:color w:val="4E566B"/>
        <w:sz w:val="16"/>
      </w:rPr>
      <w:t>1</w:t>
    </w:r>
    <w:r>
      <w:rPr>
        <w:rFonts w:ascii="Calibri" w:hAnsi="Calibri" w:eastAsia="Calibri" w:cs="Calibri"/>
        <w:color w:val="4E566B"/>
        <w:sz w:val="16"/>
      </w:rPr>
      <w:fldChar w:fldCharType="end"/>
    </w:r>
    <w:r>
      <w:rPr>
        <w:rFonts w:ascii="Calibri" w:hAnsi="Calibri" w:eastAsia="Calibri" w:cs="Calibri"/>
        <w:color w:val="4E566B"/>
        <w:sz w:val="16"/>
      </w:rPr>
      <w:t xml:space="preserve"> of </w:t>
    </w:r>
    <w:r>
      <w:rPr>
        <w:rFonts w:ascii="Calibri" w:hAnsi="Calibri" w:eastAsia="Calibri" w:cs="Calibri"/>
        <w:color w:val="4E566B"/>
        <w:sz w:val="16"/>
      </w:rPr>
      <w:fldChar w:fldCharType="begin"/>
    </w:r>
    <w:r>
      <w:rPr>
        <w:rFonts w:ascii="Calibri" w:hAnsi="Calibri" w:eastAsia="Calibri" w:cs="Calibri"/>
        <w:color w:val="4E566B"/>
        <w:sz w:val="16"/>
      </w:rPr>
      <w:instrText xml:space="preserve"> NUMPAGES </w:instrText>
    </w:r>
    <w:r>
      <w:rPr>
        <w:rFonts w:ascii="Calibri" w:hAnsi="Calibri" w:eastAsia="Calibri" w:cs="Calibri"/>
        <w:color w:val="4E566B"/>
        <w:sz w:val="16"/>
      </w:rPr>
      <w:fldChar w:fldCharType="separate"/>
    </w:r>
    <w:r>
      <w:rPr>
        <w:rFonts w:ascii="Calibri" w:hAnsi="Calibri" w:eastAsia="Calibri" w:cs="Calibri"/>
        <w:color w:val="4E566B"/>
        <w:sz w:val="16"/>
      </w:rPr>
      <w:t>1</w:t>
    </w:r>
    <w:r>
      <w:rPr>
        <w:rFonts w:ascii="Calibri" w:hAnsi="Calibri" w:eastAsia="Calibri" w:cs="Calibri"/>
        <w:color w:val="4E566B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E566B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▸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20" w:after="80" w:lineRule="auto" w:line="240"/>
      <w:ind w:left="0" w:firstLine="0"/>
      <w:jc w:val="left"/>
      <w:outlineLvl w:val="0"/>
    </w:pPr>
    <w:rPr>
      <w:rFonts w:ascii="Cambria" w:hAnsi="Cambria" w:eastAsia="Cambria" w:cs="Cambria"/>
      <w:b/>
      <w:bCs/>
      <w:i w:val="0"/>
      <w:caps w:val="0"/>
      <w:smallCaps/>
      <w:color w:val="1F3A68"/>
      <w:sz w:val="24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B2030"/>
      <w:sz w:val="20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left"/>
    </w:pPr>
    <w:rPr>
      <w:rFonts w:ascii="Cambria" w:hAnsi="Cambria" w:eastAsia="Cambria" w:cs="Cambria"/>
      <w:b/>
      <w:i w:val="0"/>
      <w:caps w:val="0"/>
      <w:smallCaps w:val="0"/>
      <w:color w:val="1F3A68"/>
      <w:spacing w:val="5"/>
      <w:kern w:val="28"/>
      <w:sz w:val="46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B2030"/>
      <w:sz w:val="27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68"/>
      <w:sz w:val="24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20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59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66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59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E566B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mbria" w:hAnsi="Cambria" w:eastAsia="Cambria" w:cs="Cambria"/>
      <w:b/>
      <w:i w:val="0"/>
      <w:caps w:val="0"/>
      <w:smallCaps w:val="0"/>
      <w:color w:val="1F3A68"/>
      <w:sz w:val="23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mbria" w:hAnsi="Cambria" w:eastAsia="Cambria" w:cs="Cambria"/>
      <w:b/>
      <w:i w:val="0"/>
      <w:caps w:val="0"/>
      <w:smallCaps w:val="0"/>
      <w:color w:val="FFFFFF"/>
      <w:sz w:val="46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71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F3A68"/>
      <w:sz w:val="20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20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mbria" w:hAnsi="Cambria" w:eastAsia="Cambria" w:cs="Cambria"/>
      <w:b/>
      <w:i w:val="0"/>
      <w:caps w:val="0"/>
      <w:smallCaps w:val="0"/>
      <w:color w:val="1F3A68"/>
      <w:sz w:val="38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B2030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E566B"/>
      <w:sz w:val="16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9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1F3A68"/>
      <w:sz w:val="21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B2030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orcid.org/0000-0002-1825-0097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doi.org/10.5555/jevs.2024.0123" TargetMode="External"/><Relationship Id="rId15" Type="http://schemas.openxmlformats.org/officeDocument/2006/relationships/hyperlink" Target="https://doi.org/10.5555/ejai.2021.0042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Research portfolio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2026-10-25T09:40:00Z</dcterms:created>
  <dcterms:modified xsi:type="dcterms:W3CDTF">2026-10-25T09:40:00Z</dcterms:modified>
  <cp:category>Resume</cp:category>
  <dc:language>en-IN</dc:language>
</cp:coreProperties>
</file>