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1E2A38"/>
          </w:rPr>
          <w:t>anika.sharma@example.org</w:t>
        </w:r>
      </w:hyperlink>
      <w:r>
        <w:rPr>
          <w:color w:val="4B5560"/>
        </w:rPr>
        <w:t xml:space="preserve">  |  </w:t>
      </w:r>
      <w:hyperlink r:id="rId10" w:history="1">
        <w:r>
          <w:rPr>
            <w:color w:val="1E2A38"/>
          </w:rPr>
          <w:t>+91 00000 12345</w:t>
        </w:r>
      </w:hyperlink>
      <w:r>
        <w:rPr>
          <w:color w:val="4B5560"/>
        </w:rPr>
        <w:t xml:space="preserve">  |  </w:t>
      </w:r>
      <w:r>
        <w:t>New Delhi, India</w:t>
      </w:r>
      <w:r>
        <w:rPr>
          <w:color w:val="4B5560"/>
        </w:rPr>
        <w:t xml:space="preserve">  |  </w:t>
      </w:r>
      <w:hyperlink r:id="rId11" w:history="1">
        <w:r>
          <w:rPr>
            <w:color w:val="1E2A38"/>
          </w:rPr>
          <w:t>linkedin.com/in/anika-sharma-example</w:t>
        </w:r>
      </w:hyperlink>
    </w:p>
    <w:p>
      <w:pPr>
        <w:pBdr>
          <w:bottom w:val="single" w:sz="16" w:space="0" w:color="1E2A38"/>
        </w:pBdr>
        <w:spacing w:before="42" w:after="56" w:lineRule="exact" w:line="20"/>
      </w:pPr>
    </w:p>
    <w:p>
      <w:pPr>
        <w:pStyle w:val="Heading1"/>
        <w:shd w:val="clear" w:color="auto" w:fill="E3E8EE"/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shd w:val="clear" w:color="auto" w:fill="E3E8EE"/>
      </w:pPr>
      <w:r>
        <w:t>TECHNICAL DOMAINS</w:t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8" w:type="dxa"/>
          <w:left w:w="30" w:type="dxa"/>
          <w:bottom w:w="18" w:type="dxa"/>
          <w:right w:w="30" w:type="dxa"/>
        </w:tblCellMar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Avionics (MIL-STD-1553 / ARINC 429, Avionics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Scientific instrumentation (Environmental qualification testing, Sensor calibration, Radiosonde and upper-air systems)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Embedded systems (Embedded C, ESP32 / STM32 microcontrollers)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Computer vision (Image super-resolution, Object detection)</w:t>
            </w:r>
          </w:p>
        </w:tc>
        <w:tc>
          <w:tcPr>
            <w:tcW w:type="dxa" w:w="3364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Drones &amp; UAV systems (UAV payload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Edge AI (NVIDIA Jetson deployment)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AI / machine learning (Deep learning, PyTorch)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Procurement &amp; administration (Technical procurement (GeM, GFR))</w:t>
            </w:r>
          </w:p>
        </w:tc>
        <w:tc>
          <w:tcPr>
            <w:tcW w:type="dxa" w:w="3364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IoT (MQTT and Node-RED, InfluxDB and Grafana)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Model optimisation (TensorRT and ONNX, Pruning and knowledge distillation)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Software &amp; tools (Python, Docker and Linux)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Technical leadership (Team leadership)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28"/>
      </w:pPr>
      <w:r>
        <w:rPr>
          <w:sz w:val="2"/>
        </w:rPr>
      </w:r>
    </w:p>
    <w:p>
      <w:pPr>
        <w:pStyle w:val="Heading1"/>
        <w:shd w:val="clear" w:color="auto" w:fill="E3E8EE"/>
      </w:pPr>
      <w:r>
        <w:t>PROFESSIONAL EXPERIENCE</w:t>
      </w:r>
    </w:p>
    <w:p>
      <w:pPr>
        <w:pStyle w:val="Heading2"/>
        <w:tabs>
          <w:tab w:pos="10081" w:val="right"/>
        </w:tabs>
      </w:pPr>
      <w:r>
        <w:rPr>
          <w:b/>
        </w:rPr>
        <w:t>Upper Air Instrumentation Division, Kestrel Atmospheric Instrumentation Laboratory</w:t>
      </w:r>
      <w:r>
        <w:tab/>
      </w:r>
      <w:r>
        <w:t>New Delhi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Scientist E</w:t>
      </w:r>
      <w:r>
        <w:tab/>
      </w:r>
      <w:r>
        <w:t>Jul 2016 – Present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Meta"/>
      </w:pPr>
      <w:r>
        <w:rPr>
          <w:b/>
        </w:rPr>
        <w:t xml:space="preserve">Tools: </w:t>
      </w:r>
      <w:r>
        <w:t>Python, PyTorch, MQTT, Node-RED, InfluxDB, Grafana, Docker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1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B5560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B5560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Avionics Integration Group, Halcyon Avionics Design Bureau</w:t>
      </w:r>
      <w:r>
        <w:tab/>
      </w:r>
      <w:r>
        <w:t>Bengaluru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Senior Design Engineer</w:t>
      </w:r>
      <w:r>
        <w:tab/>
      </w:r>
      <w:r>
        <w:t>Jun 2004 – Jun 2016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Meta"/>
      </w:pPr>
      <w:r>
        <w:rPr>
          <w:b/>
        </w:rPr>
        <w:t xml:space="preserve">Tools: </w:t>
      </w:r>
      <w:r>
        <w:t>MIL-STD-1553, ARINC 429, LabVIEW, C, MATLAB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Test Systems Group, Meridian Electronics Limited</w:t>
      </w:r>
      <w:r>
        <w:tab/>
      </w:r>
      <w:r>
        <w:t>Bengaluru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Graduate Engineer</w:t>
      </w:r>
      <w:r>
        <w:tab/>
      </w:r>
      <w:r>
        <w:t>Aug 2002 – May 2004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Meta"/>
      </w:pPr>
      <w:r>
        <w:rPr>
          <w:b/>
        </w:rPr>
        <w:t xml:space="preserve">Tools: </w:t>
      </w:r>
      <w:r>
        <w:t>LabVIEW, C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TECHNICAL PROJECTS</w:t>
      </w:r>
    </w:p>
    <w:p>
      <w:pPr>
        <w:pStyle w:val="Heading2"/>
      </w:pPr>
      <w:r>
        <w:rPr>
          <w:b/>
        </w:rPr>
        <w:t>Principal investigator, Kestrel Atmospheric Instrumentation Laboratory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Edge super-resolution pipeline for UAV imagery</w:t>
      </w:r>
      <w:r>
        <w:rPr>
          <w:i/>
          <w:color w:val="4B5560"/>
        </w:rPr>
        <w:t xml:space="preserve"> (Ongoing)</w:t>
      </w:r>
      <w:r>
        <w:tab/>
      </w:r>
      <w:r>
        <w:t>Sep 2021 – Present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1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1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EDUCATION</w:t>
      </w:r>
    </w:p>
    <w:p>
      <w:pPr>
        <w:pStyle w:val="Heading2"/>
      </w:pPr>
      <w:r>
        <w:rPr>
          <w:b/>
        </w:rPr>
        <w:t>Northfield Institute of Science and Technology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Ph.D., Electrical and Electronics Engineering</w:t>
      </w:r>
      <w:r>
        <w:tab/>
      </w:r>
      <w:r>
        <w:t>2021 – ongoing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Coastal Institute of Aeronautical Engineering</w:t>
      </w:r>
      <w:r>
        <w:tab/>
      </w:r>
      <w:r>
        <w:t>Chennai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M.Tech., Avionics</w:t>
      </w:r>
      <w:r>
        <w:tab/>
      </w:r>
      <w:r>
        <w:t>2010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Northfield Institute of Science and Technology, Northfield University</w:t>
      </w:r>
      <w:r>
        <w:tab/>
      </w:r>
      <w:r>
        <w:t>Pune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B.E., Electronics and Communication Engineering</w:t>
      </w:r>
      <w:r>
        <w:tab/>
      </w:r>
      <w:r>
        <w:t>2004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2" w:history="1">
        <w:r>
          <w:rPr>
            <w:color w:val="1E2A38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3" w:history="1">
        <w:r>
          <w:rPr>
            <w:color w:val="1E2A38"/>
          </w:rPr>
          <w:t xml:space="preserve"> doi: 10.5555/ejai.2021.0042</w:t>
        </w:r>
      </w:hyperlink>
    </w:p>
    <w:p>
      <w:pPr>
        <w:pStyle w:val="Heading1"/>
        <w:shd w:val="clear" w:color="auto" w:fill="E3E8EE"/>
      </w:pPr>
      <w:r>
        <w:t>LEADERSHIP &amp; RESPONSIBILITIES</w:t>
      </w:r>
    </w:p>
    <w:p>
      <w:pPr>
        <w:pStyle w:val="Heading2"/>
      </w:pPr>
      <w:r>
        <w:rPr>
          <w:b/>
        </w:rPr>
        <w:t>Kestrel Atmospheric Instrumentation Laboratory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Supervisor, M.Tech. interns in applied machine learning</w:t>
      </w:r>
      <w:r>
        <w:tab/>
      </w:r>
      <w:r>
        <w:t>2022 – Present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Kestrel Atmospheric Instrumentation Laboratory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CERTIFICATIONS &amp; TRAINING</w:t>
      </w:r>
    </w:p>
    <w:p>
      <w:pPr>
        <w:pStyle w:val="Heading2"/>
      </w:pPr>
      <w:r>
        <w:rPr>
          <w:b/>
        </w:rPr>
        <w:t>Example Academy of Applied Computing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Deep Learning for Edge Devices (40-hour course)</w:t>
      </w:r>
      <w:r>
        <w:tab/>
      </w:r>
      <w:r>
        <w:t>2022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Example Institute of Public Administration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Public Procurement and GFR 2017 (5-day programme)</w:t>
      </w:r>
      <w:r>
        <w:tab/>
      </w:r>
      <w:r>
        <w:t>2019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AWARDS &amp; HONOURS</w:t>
      </w:r>
    </w:p>
    <w:p>
      <w:pPr>
        <w:pStyle w:val="Heading2"/>
      </w:pPr>
      <w:r>
        <w:rPr>
          <w:b/>
        </w:rPr>
        <w:t>Example Conference on Instrumentation (ECI 2023)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Best Paper Award</w:t>
      </w:r>
      <w:r>
        <w:tab/>
      </w:r>
      <w:r>
        <w:t>2023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TECHNICAL SKILLS</w:t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single" w:sz="3" w:space="0" w:color="1E2A38"/>
          <w:right w:val="nil"/>
          <w:insideH w:val="single" w:sz="3" w:space="0" w:color="1E2A38"/>
          <w:insideV w:val="nil"/>
        </w:tblBorders>
        <w:tblCellMar>
          <w:top w:w="30" w:type="dxa"/>
          <w:left w:w="50" w:type="dxa"/>
          <w:bottom w:w="30" w:type="dxa"/>
          <w:right w:w="50" w:type="dxa"/>
        </w:tblCellMar>
      </w:tblPr>
      <w:tblGrid>
        <w:gridCol w:w="2725"/>
        <w:gridCol w:w="7367"/>
      </w:tblGrid>
      <w:tr>
        <w:tc>
          <w:tcPr>
            <w:tcW w:type="dxa" w:w="2725"/>
          </w:tcPr>
          <w:p>
            <w:pPr>
              <w:pStyle w:val="RISTableHead"/>
            </w:pPr>
            <w:r>
              <w:t>Avionics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MIL-STD-1553 / ARINC 429, Avionics integration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Scientific instrumentation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Environmental qualification testing, Sensor calibration, Radiosonde and upper-air systems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Embedded systems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Embedded C, ESP32 / STM32 microcontrollers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Computer vision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Image super-resolution, Object detection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Drones &amp; UAV systems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UAV payload integration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Edge AI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NVIDIA Jetson deployment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AI / machine learning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Deep learning, PyTorch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28"/>
      </w:pPr>
      <w:r>
        <w:rPr>
          <w:sz w:val="2"/>
        </w:rPr>
      </w:r>
    </w:p>
    <w:p>
      <w:pPr>
        <w:pStyle w:val="Heading1"/>
        <w:shd w:val="clear" w:color="auto" w:fill="E3E8EE"/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4"/>
      <w:pgSz w:w="11906" w:h="16838"/>
      <w:pgMar w:top="794" w:right="907" w:bottom="850" w:left="907" w:header="397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91" w:val="right"/>
      </w:tabs>
      <w:spacing w:before="0" w:after="0"/>
    </w:pPr>
    <w:r>
      <w:rPr>
        <w:rFonts w:ascii="Arial" w:hAnsi="Arial" w:eastAsia="Arial" w:cs="Arial"/>
        <w:color w:val="4B5560"/>
        <w:sz w:val="14"/>
      </w:rPr>
      <w:t>Dr. Anika Sharma</w:t>
    </w:r>
    <w:r>
      <w:rPr>
        <w:rFonts w:ascii="Arial" w:hAnsi="Arial" w:eastAsia="Arial" w:cs="Arial"/>
        <w:color w:val="4B5560"/>
        <w:sz w:val="14"/>
      </w:rPr>
      <w:tab/>
    </w:r>
    <w:r>
      <w:rPr>
        <w:rFonts w:ascii="Arial" w:hAnsi="Arial" w:eastAsia="Arial" w:cs="Arial"/>
        <w:color w:val="4B5560"/>
        <w:sz w:val="14"/>
      </w:rPr>
      <w:t xml:space="preserve">Page </w:t>
    </w:r>
    <w:r>
      <w:rPr>
        <w:rFonts w:ascii="Arial" w:hAnsi="Arial" w:eastAsia="Arial" w:cs="Arial"/>
        <w:color w:val="4B5560"/>
        <w:sz w:val="14"/>
      </w:rPr>
      <w:fldChar w:fldCharType="begin"/>
    </w:r>
    <w:r>
      <w:rPr>
        <w:rFonts w:ascii="Arial" w:hAnsi="Arial" w:eastAsia="Arial" w:cs="Arial"/>
        <w:color w:val="4B5560"/>
        <w:sz w:val="14"/>
      </w:rPr>
      <w:instrText xml:space="preserve"> PAGE </w:instrText>
    </w:r>
    <w:r>
      <w:rPr>
        <w:rFonts w:ascii="Arial" w:hAnsi="Arial" w:eastAsia="Arial" w:cs="Arial"/>
        <w:color w:val="4B5560"/>
        <w:sz w:val="14"/>
      </w:rPr>
      <w:fldChar w:fldCharType="separate"/>
    </w:r>
    <w:r>
      <w:rPr>
        <w:rFonts w:ascii="Arial" w:hAnsi="Arial" w:eastAsia="Arial" w:cs="Arial"/>
        <w:color w:val="4B5560"/>
        <w:sz w:val="14"/>
      </w:rPr>
      <w:t>1</w:t>
    </w:r>
    <w:r>
      <w:rPr>
        <w:rFonts w:ascii="Arial" w:hAnsi="Arial" w:eastAsia="Arial" w:cs="Arial"/>
        <w:color w:val="4B5560"/>
        <w:sz w:val="14"/>
      </w:rPr>
      <w:fldChar w:fldCharType="end"/>
    </w:r>
    <w:r>
      <w:rPr>
        <w:rFonts w:ascii="Arial" w:hAnsi="Arial" w:eastAsia="Arial" w:cs="Arial"/>
        <w:color w:val="4B5560"/>
        <w:sz w:val="14"/>
      </w:rPr>
      <w:t xml:space="preserve"> of </w:t>
    </w:r>
    <w:r>
      <w:rPr>
        <w:rFonts w:ascii="Arial" w:hAnsi="Arial" w:eastAsia="Arial" w:cs="Arial"/>
        <w:color w:val="4B5560"/>
        <w:sz w:val="14"/>
      </w:rPr>
      <w:fldChar w:fldCharType="begin"/>
    </w:r>
    <w:r>
      <w:rPr>
        <w:rFonts w:ascii="Arial" w:hAnsi="Arial" w:eastAsia="Arial" w:cs="Arial"/>
        <w:color w:val="4B5560"/>
        <w:sz w:val="14"/>
      </w:rPr>
      <w:instrText xml:space="preserve"> NUMPAGES </w:instrText>
    </w:r>
    <w:r>
      <w:rPr>
        <w:rFonts w:ascii="Arial" w:hAnsi="Arial" w:eastAsia="Arial" w:cs="Arial"/>
        <w:color w:val="4B5560"/>
        <w:sz w:val="14"/>
      </w:rPr>
      <w:fldChar w:fldCharType="separate"/>
    </w:r>
    <w:r>
      <w:rPr>
        <w:rFonts w:ascii="Arial" w:hAnsi="Arial" w:eastAsia="Arial" w:cs="Arial"/>
        <w:color w:val="4B5560"/>
        <w:sz w:val="14"/>
      </w:rPr>
      <w:t>1</w:t>
    </w:r>
    <w:r>
      <w:rPr>
        <w:rFonts w:ascii="Arial" w:hAnsi="Arial" w:eastAsia="Arial" w:cs="Arial"/>
        <w:color w:val="4B5560"/>
        <w:sz w:val="14"/>
      </w:rPr>
      <w:fldChar w:fldCharType="end"/>
    </w:r>
  </w:p>
  <w:p>
    <w:pPr>
      <w:spacing w:before="20"/>
      <w:jc w:val="center"/>
    </w:pPr>
    <w:r>
      <w:rPr>
        <w:rFonts w:ascii="Arial" w:hAnsi="Arial" w:eastAsia="Arial" w:cs="Arial"/>
        <w:i/>
        <w:color w:val="4B5560"/>
        <w:sz w:val="14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▪"/>
      <w:lvlJc w:val="left"/>
      <w:pPr>
        <w:ind w:left="255" w:hanging="255"/>
      </w:pPr>
      <w:rPr>
        <w:rFonts w:ascii="Arial" w:hAnsi="Arial" w:eastAsia="Arial" w:cs="Arial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Arial" w:hAnsi="Arial" w:eastAsia="Arial" w:cs="Arial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Arial" w:hAnsi="Arial" w:eastAsia="Arial" w:cs="Arial"/>
      </w:rPr>
    </w:lvl>
  </w:abstractNum>
  <w:abstractNum w:abstractNumId="91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Arial" w:hAnsi="Arial" w:eastAsia="Arial" w:cs="Arial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Arial" w:hAnsi="Arial" w:eastAsia="Arial" w:cs="Arial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Arial" w:hAnsi="Arial" w:eastAsia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6" w:after="56" w:lineRule="auto" w:line="240"/>
      <w:ind w:left="0" w:firstLine="0"/>
      <w:jc w:val="left"/>
      <w:outlineLvl w:val="0"/>
    </w:pPr>
    <w:rPr>
      <w:rFonts w:ascii="Arial" w:hAnsi="Arial" w:eastAsia="Arial" w:cs="Arial"/>
      <w:b/>
      <w:bCs/>
      <w:i w:val="0"/>
      <w:caps w:val="0"/>
      <w:smallCaps w:val="0"/>
      <w:color w:val="1E2A38"/>
      <w:sz w:val="19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 w:val="0"/>
      <w:bCs/>
      <w:i w:val="0"/>
      <w:caps w:val="0"/>
      <w:smallCaps w:val="0"/>
      <w:color w:val="1B1F24"/>
      <w:sz w:val="18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Arial" w:hAnsi="Arial" w:eastAsia="Arial" w:cs="Arial"/>
      <w:b/>
      <w:i w:val="0"/>
      <w:caps w:val="0"/>
      <w:smallCaps w:val="0"/>
      <w:color w:val="1E2A38"/>
      <w:spacing w:val="10"/>
      <w:kern w:val="28"/>
      <w:sz w:val="34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B1F24"/>
      <w:sz w:val="22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9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E2A38"/>
      <w:sz w:val="19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B5560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B5560"/>
      <w:sz w:val="15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7"/>
      <w:ind w:left="255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64"/>
      <w:ind w:left="0" w:firstLine="0"/>
      <w:jc w:val="both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7"/>
      <w:ind w:left="255" w:hanging="255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B5560"/>
      <w:sz w:val="15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E2A38"/>
      <w:sz w:val="18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B1F24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FFFFFF"/>
      <w:sz w:val="34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19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E2A38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E2A38"/>
      <w:sz w:val="32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 w:val="0"/>
      <w:i/>
      <w:caps w:val="0"/>
      <w:smallCaps w:val="0"/>
      <w:color w:val="4B5560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/>
      <w:i w:val="0"/>
      <w:caps w:val="0"/>
      <w:smallCaps w:val="0"/>
      <w:color w:val="1E2A38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B1F24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doi.org/10.5555/jevs.2024.0123" TargetMode="External"/><Relationship Id="rId13" Type="http://schemas.openxmlformats.org/officeDocument/2006/relationships/hyperlink" Target="https://doi.org/10.5555/ejai.2021.0042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Defence &amp; Intelligence technical resume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2026-10-25T04:00:57Z</dcterms:created>
  <dcterms:modified xsi:type="dcterms:W3CDTF">2026-10-25T04:00:57Z</dcterms:modified>
  <cp:category>Resume</cp:category>
  <dc:language>en-IN</dc:language>
</cp:coreProperties>
</file>