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987"/>
        <w:gridCol w:w="3991"/>
      </w:tblGrid>
      <w:tr>
        <w:tc>
          <w:tcPr>
            <w:tcW w:type="dxa" w:w="5987"/>
          </w:tcPr>
          <w:p>
            <w:pPr>
              <w:pStyle w:val="Title"/>
              <w:jc w:val="left"/>
            </w:pPr>
            <w:r>
              <w:t>Dr. Anika Sharma</w:t>
            </w:r>
          </w:p>
          <w:p>
            <w:pPr>
              <w:pStyle w:val="RISHeadline"/>
              <w:jc w:val="left"/>
            </w:pPr>
            <w:r>
              <w:t>Scientist E — Atmospheric Instrumentation &amp; Applied AI</w:t>
            </w:r>
          </w:p>
        </w:tc>
        <w:tc>
          <w:tcPr>
            <w:tcW w:type="dxa" w:w="3991"/>
          </w:tcPr>
          <w:p>
            <w:pPr>
              <w:pStyle w:val="RISContact"/>
              <w:spacing w:after="10"/>
              <w:jc w:val="right"/>
            </w:pPr>
            <w:hyperlink r:id="rId9" w:history="1">
              <w:r>
                <w:rPr>
                  <w:color w:val="0F4C5C"/>
                </w:rPr>
                <w:t>anika.sharma@example.org</w:t>
              </w:r>
            </w:hyperlink>
          </w:p>
          <w:p>
            <w:pPr>
              <w:pStyle w:val="RISContact"/>
              <w:spacing w:after="10"/>
              <w:jc w:val="right"/>
            </w:pPr>
            <w:hyperlink r:id="rId10" w:history="1">
              <w:r>
                <w:rPr>
                  <w:color w:val="0F4C5C"/>
                </w:rPr>
                <w:t>+91 00000 12345</w:t>
              </w:r>
            </w:hyperlink>
          </w:p>
          <w:p>
            <w:pPr>
              <w:pStyle w:val="RISContact"/>
              <w:spacing w:after="10"/>
              <w:jc w:val="right"/>
            </w:pPr>
            <w:r>
              <w:t>New Delhi, India</w:t>
            </w:r>
          </w:p>
          <w:p>
            <w:pPr>
              <w:pStyle w:val="RISContact"/>
              <w:spacing w:after="10"/>
              <w:jc w:val="right"/>
            </w:pPr>
            <w:hyperlink r:id="rId11" w:history="1">
              <w:r>
                <w:rPr>
                  <w:color w:val="0F4C5C"/>
                </w:rPr>
                <w:t>linkedin.com/in/anika-sharma-example</w:t>
              </w:r>
            </w:hyperlink>
          </w:p>
          <w:p>
            <w:pPr>
              <w:pStyle w:val="RISContact"/>
              <w:spacing w:after="10"/>
              <w:jc w:val="right"/>
            </w:pPr>
            <w:hyperlink r:id="rId12" w:history="1">
              <w:r>
                <w:rPr>
                  <w:color w:val="0F4C5C"/>
                </w:rPr>
                <w:t>anika-sharma.example.org</w:t>
              </w:r>
            </w:hyperlink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Professional Summary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8" w:space="2" w:color="0F4C5C"/>
        </w:pBdr>
      </w:pPr>
      <w:r>
        <w:t>Core Competencies</w:t>
      </w:r>
    </w:p>
    <w:p>
      <w:pPr>
        <w:pStyle w:val="RISBody"/>
      </w:pPr>
      <w:r>
        <w:t>Avionics (MIL-STD-1553 / ARINC 429, Avionics integration) · Scientific instrumentation (Environmental qualification testing, Sensor calibration, Radiosonde and upper-air systems) · Embedded systems (Embedded C, ESP32 / STM32 microcontrollers) · Computer vision (Image super-resolution, Object detection) · Drones &amp; UAV systems (UAV payload integration) · Edge AI (NVIDIA Jetson deployment) · AI / machine learning (Deep learning, PyTorch) · Procurement &amp; administration (Technical procurement (GeM, GFR)) · IoT (MQTT and Node-RED, InfluxDB and Grafana) · Model optimisation (TensorRT and ONNX, Pruning and knowledge distillation) · Software &amp; tools (Python, Docker and Linux) · Technical leadership (Team leadership)</w:t>
      </w:r>
    </w:p>
    <w:p>
      <w:pPr>
        <w:pStyle w:val="Heading1"/>
        <w:pBdr>
          <w:bottom w:val="single" w:sz="8" w:space="2" w:color="0F4C5C"/>
        </w:pBdr>
      </w:pPr>
      <w:r>
        <w:t>Professional Experience</w:t>
      </w:r>
    </w:p>
    <w:p>
      <w:pPr>
        <w:pStyle w:val="Heading2"/>
        <w:tabs>
          <w:tab w:pos="9968" w:val="right"/>
        </w:tabs>
      </w:pPr>
      <w:r>
        <w:rPr>
          <w:b/>
        </w:rPr>
        <w:t>Scientist E</w:t>
      </w:r>
      <w:r>
        <w:tab/>
      </w:r>
      <w:r>
        <w:t>Jul 2016 – Present</w:t>
      </w:r>
    </w:p>
    <w:p>
      <w:pPr>
        <w:pStyle w:val="RISEntrySub"/>
      </w:pPr>
      <w:r>
        <w:rPr>
          <w:i/>
        </w:rPr>
        <w:t>Upper Air Instrumentation Division, Kestrel Atmospheric Instrumentation Laboratory, New Delhi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9968" w:val="right"/>
        </w:tabs>
        <w:ind w:left="255"/>
      </w:pPr>
      <w:r>
        <w:rPr>
          <w:i/>
          <w:color w:val="4D5A60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ChildTitle"/>
        <w:tabs>
          <w:tab w:pos="9968" w:val="right"/>
        </w:tabs>
        <w:ind w:left="255"/>
      </w:pPr>
      <w:r>
        <w:rPr>
          <w:i/>
          <w:color w:val="4D5A60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Senior Design Engineer</w:t>
      </w:r>
      <w:r>
        <w:tab/>
      </w:r>
      <w:r>
        <w:t>Jun 2004 – Jun 2016</w:t>
      </w:r>
    </w:p>
    <w:p>
      <w:pPr>
        <w:pStyle w:val="RISEntrySub"/>
      </w:pPr>
      <w:r>
        <w:rPr>
          <w:i/>
        </w:rPr>
        <w:t>Avionics Integration Group, Halcyon Avionics Design Bureau, Bengaluru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Graduate Engineer</w:t>
      </w:r>
      <w:r>
        <w:tab/>
      </w:r>
      <w:r>
        <w:t>Aug 2002 – May 2004</w:t>
      </w:r>
    </w:p>
    <w:p>
      <w:pPr>
        <w:pStyle w:val="RISEntrySub"/>
      </w:pPr>
      <w:r>
        <w:rPr>
          <w:i/>
        </w:rPr>
        <w:t>Test Systems Group, Meridian Electronics Limited, Bengaluru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Key Projects</w:t>
      </w:r>
    </w:p>
    <w:p>
      <w:pPr>
        <w:pStyle w:val="Heading2"/>
        <w:tabs>
          <w:tab w:pos="9968" w:val="right"/>
        </w:tabs>
      </w:pPr>
      <w:r>
        <w:rPr>
          <w:b/>
        </w:rPr>
        <w:t>Edge super-resolution pipeline for UAV imagery</w:t>
      </w:r>
      <w:r>
        <w:rPr>
          <w:i/>
          <w:color w:val="4D5A60"/>
        </w:rPr>
        <w:t xml:space="preserve"> (Ongoing)</w:t>
      </w:r>
      <w:r>
        <w:tab/>
      </w:r>
      <w:r>
        <w:t>Sep 2021 – Present</w:t>
      </w:r>
    </w:p>
    <w:p>
      <w:pPr>
        <w:pStyle w:val="RISEntrySub"/>
      </w:pPr>
      <w:r>
        <w:rPr>
          <w:i/>
        </w:rPr>
        <w:t>Principal investigator, Kestrel Atmospheric Instrumentation Laboratory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Education</w:t>
      </w:r>
    </w:p>
    <w:p>
      <w:pPr>
        <w:pStyle w:val="Heading2"/>
        <w:tabs>
          <w:tab w:pos="9968" w:val="right"/>
        </w:tabs>
      </w:pPr>
      <w:r>
        <w:rPr>
          <w:b/>
        </w:rPr>
        <w:t>Ph.D., Electrical and Electronics Engineering</w:t>
      </w:r>
      <w:r>
        <w:tab/>
      </w:r>
      <w:r>
        <w:t>2021 – ongoing</w:t>
      </w:r>
    </w:p>
    <w:p>
      <w:pPr>
        <w:pStyle w:val="RISEntrySub"/>
      </w:pPr>
      <w:r>
        <w:rPr>
          <w:i/>
        </w:rPr>
        <w:t>Northfield Institute of Science and Technology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M.Tech., Avionics</w:t>
      </w:r>
      <w:r>
        <w:tab/>
      </w:r>
      <w:r>
        <w:t>2010</w:t>
      </w:r>
    </w:p>
    <w:p>
      <w:pPr>
        <w:pStyle w:val="RISEntrySub"/>
      </w:pPr>
      <w:r>
        <w:rPr>
          <w:i/>
        </w:rPr>
        <w:t>Coastal Institute of Aeronautical Engineering, Chennai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B.E., Electronics and Communication Engineering</w:t>
      </w:r>
      <w:r>
        <w:tab/>
      </w:r>
      <w:r>
        <w:t>2004</w:t>
      </w:r>
    </w:p>
    <w:p>
      <w:pPr>
        <w:pStyle w:val="RISEntrySub"/>
      </w:pPr>
      <w:r>
        <w:rPr>
          <w:i/>
        </w:rPr>
        <w:t>Northfield Institute of Science and Technology, Northfield University, Pune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3" w:history="1">
        <w:r>
          <w:rPr>
            <w:color w:val="0F4C5C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4" w:history="1">
        <w:r>
          <w:rPr>
            <w:color w:val="0F4C5C"/>
          </w:rPr>
          <w:t xml:space="preserve"> doi: 10.5555/ejai.2021.0042</w:t>
        </w:r>
      </w:hyperlink>
    </w:p>
    <w:p>
      <w:pPr>
        <w:pStyle w:val="Heading1"/>
        <w:pBdr>
          <w:bottom w:val="single" w:sz="8" w:space="2" w:color="0F4C5C"/>
        </w:pBdr>
      </w:pPr>
      <w:r>
        <w:t>Leadership &amp; Responsibilities</w:t>
      </w:r>
    </w:p>
    <w:p>
      <w:pPr>
        <w:pStyle w:val="Heading2"/>
        <w:tabs>
          <w:tab w:pos="9968" w:val="right"/>
        </w:tabs>
      </w:pPr>
      <w:r>
        <w:rPr>
          <w:b/>
        </w:rPr>
        <w:t>Supervisor, M.Tech. interns in applied machine learning</w:t>
      </w:r>
      <w:r>
        <w:tab/>
      </w:r>
      <w:r>
        <w:t>2022 – Present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968" w:val="right"/>
        </w:tabs>
      </w:pPr>
      <w:r>
        <w:rPr>
          <w:b/>
        </w:rPr>
        <w:t>Chair, Technical Evaluation Committee for radiosonde procurement</w:t>
      </w:r>
      <w:r>
        <w:tab/>
      </w:r>
      <w:r>
        <w:t>Apr 2023 – Feb 2024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Evaluation report accepted by the competent authority.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Awards &amp; Honours</w:t>
      </w:r>
    </w:p>
    <w:p>
      <w:pPr>
        <w:pStyle w:val="Heading2"/>
        <w:tabs>
          <w:tab w:pos="9968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rPr>
          <w:i/>
        </w:rPr>
        <w:t>Example Conference on Instrumentation (ECI 2023)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Certifications &amp; Training</w:t>
      </w:r>
    </w:p>
    <w:p>
      <w:pPr>
        <w:pStyle w:val="Heading2"/>
        <w:tabs>
          <w:tab w:pos="9968" w:val="right"/>
        </w:tabs>
      </w:pPr>
      <w:r>
        <w:rPr>
          <w:b/>
        </w:rPr>
        <w:t>Deep Learning for Edge Devices (40-hour course)</w:t>
      </w:r>
      <w:r>
        <w:tab/>
      </w:r>
      <w:r>
        <w:t>2022</w:t>
      </w:r>
    </w:p>
    <w:p>
      <w:pPr>
        <w:pStyle w:val="RISEntrySub"/>
      </w:pPr>
      <w:r>
        <w:rPr>
          <w:i/>
        </w:rPr>
        <w:t>Example Academy of Applied Computing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Technical Skills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single" w:sz="3" w:space="0" w:color="0F4C5C"/>
          <w:right w:val="nil"/>
          <w:insideH w:val="single" w:sz="3" w:space="0" w:color="0F4C5C"/>
          <w:insideV w:val="nil"/>
        </w:tblBorders>
        <w:tblCellMar>
          <w:top w:w="30" w:type="dxa"/>
          <w:left w:w="50" w:type="dxa"/>
          <w:bottom w:w="30" w:type="dxa"/>
          <w:right w:w="50" w:type="dxa"/>
        </w:tblCellMar>
      </w:tblPr>
      <w:tblGrid>
        <w:gridCol w:w="2694"/>
        <w:gridCol w:w="7284"/>
      </w:tblGrid>
      <w:tr>
        <w:tc>
          <w:tcPr>
            <w:tcW w:type="dxa" w:w="2694"/>
          </w:tcPr>
          <w:p>
            <w:pPr>
              <w:pStyle w:val="RISTableHead"/>
            </w:pPr>
            <w:r>
              <w:t>Avionics</w:t>
            </w:r>
          </w:p>
        </w:tc>
        <w:tc>
          <w:tcPr>
            <w:tcW w:type="dxa" w:w="7284"/>
          </w:tcPr>
          <w:p>
            <w:pPr>
              <w:pStyle w:val="RISTableText"/>
            </w:pPr>
            <w:r>
              <w:t>MIL-STD-1553 / ARINC 429, Avionics integration</w:t>
            </w:r>
          </w:p>
        </w:tc>
      </w:tr>
      <w:tr>
        <w:tc>
          <w:tcPr>
            <w:tcW w:type="dxa" w:w="2694"/>
          </w:tcPr>
          <w:p>
            <w:pPr>
              <w:pStyle w:val="RISTableHead"/>
            </w:pPr>
            <w:r>
              <w:t>Scientific instrumentation</w:t>
            </w:r>
          </w:p>
        </w:tc>
        <w:tc>
          <w:tcPr>
            <w:tcW w:type="dxa" w:w="7284"/>
          </w:tcPr>
          <w:p>
            <w:pPr>
              <w:pStyle w:val="RISTableText"/>
            </w:pPr>
            <w:r>
              <w:t>Environmental qualification testing, Sensor calibration, Radiosonde and upper-air systems</w:t>
            </w:r>
          </w:p>
        </w:tc>
      </w:tr>
      <w:tr>
        <w:tc>
          <w:tcPr>
            <w:tcW w:type="dxa" w:w="2694"/>
          </w:tcPr>
          <w:p>
            <w:pPr>
              <w:pStyle w:val="RISTableHead"/>
            </w:pPr>
            <w:r>
              <w:t>Embedded systems</w:t>
            </w:r>
          </w:p>
        </w:tc>
        <w:tc>
          <w:tcPr>
            <w:tcW w:type="dxa" w:w="7284"/>
          </w:tcPr>
          <w:p>
            <w:pPr>
              <w:pStyle w:val="RISTableText"/>
            </w:pPr>
            <w:r>
              <w:t>Embedded C, ESP32 / STM32 microcontrollers</w:t>
            </w:r>
          </w:p>
        </w:tc>
      </w:tr>
      <w:tr>
        <w:tc>
          <w:tcPr>
            <w:tcW w:type="dxa" w:w="2694"/>
          </w:tcPr>
          <w:p>
            <w:pPr>
              <w:pStyle w:val="RISTableHead"/>
            </w:pPr>
            <w:r>
              <w:t>Computer vision</w:t>
            </w:r>
          </w:p>
        </w:tc>
        <w:tc>
          <w:tcPr>
            <w:tcW w:type="dxa" w:w="7284"/>
          </w:tcPr>
          <w:p>
            <w:pPr>
              <w:pStyle w:val="RISTableText"/>
            </w:pPr>
            <w:r>
              <w:t>Image super-resolution, Object detection</w:t>
            </w:r>
          </w:p>
        </w:tc>
      </w:tr>
      <w:tr>
        <w:tc>
          <w:tcPr>
            <w:tcW w:type="dxa" w:w="2694"/>
          </w:tcPr>
          <w:p>
            <w:pPr>
              <w:pStyle w:val="RISTableHead"/>
            </w:pPr>
            <w:r>
              <w:t>Drones &amp; UAV systems</w:t>
            </w:r>
          </w:p>
        </w:tc>
        <w:tc>
          <w:tcPr>
            <w:tcW w:type="dxa" w:w="7284"/>
          </w:tcPr>
          <w:p>
            <w:pPr>
              <w:pStyle w:val="RISTableText"/>
            </w:pPr>
            <w:r>
              <w:t>UAV payload integration</w:t>
            </w:r>
          </w:p>
        </w:tc>
      </w:tr>
      <w:tr>
        <w:tc>
          <w:tcPr>
            <w:tcW w:type="dxa" w:w="2694"/>
          </w:tcPr>
          <w:p>
            <w:pPr>
              <w:pStyle w:val="RISTableHead"/>
            </w:pPr>
            <w:r>
              <w:t>Edge AI</w:t>
            </w:r>
          </w:p>
        </w:tc>
        <w:tc>
          <w:tcPr>
            <w:tcW w:type="dxa" w:w="7284"/>
          </w:tcPr>
          <w:p>
            <w:pPr>
              <w:pStyle w:val="RISTableText"/>
            </w:pPr>
            <w:r>
              <w:t>NVIDIA Jetson deployment</w:t>
            </w:r>
          </w:p>
        </w:tc>
      </w:tr>
      <w:tr>
        <w:tc>
          <w:tcPr>
            <w:tcW w:type="dxa" w:w="2694"/>
          </w:tcPr>
          <w:p>
            <w:pPr>
              <w:pStyle w:val="RISTableHead"/>
            </w:pPr>
            <w:r>
              <w:t>AI / machine learning</w:t>
            </w:r>
          </w:p>
        </w:tc>
        <w:tc>
          <w:tcPr>
            <w:tcW w:type="dxa" w:w="7284"/>
          </w:tcPr>
          <w:p>
            <w:pPr>
              <w:pStyle w:val="RISTableText"/>
            </w:pPr>
            <w:r>
              <w:t>Deep learning, PyTorch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28"/>
      </w:pPr>
      <w:r>
        <w:rPr>
          <w:sz w:val="2"/>
        </w:rPr>
      </w:r>
    </w:p>
    <w:p>
      <w:pPr>
        <w:pStyle w:val="Heading1"/>
        <w:pBdr>
          <w:bottom w:val="single" w:sz="8" w:space="2" w:color="0F4C5C"/>
        </w:pBdr>
      </w:pPr>
      <w:r>
        <w:t>Languages</w:t>
      </w:r>
    </w:p>
    <w:p>
      <w:pPr>
        <w:pStyle w:val="RISBody"/>
      </w:pPr>
      <w:r>
        <w:t>English, Hindi</w:t>
      </w:r>
    </w:p>
    <w:sectPr w:rsidR="00FC693F" w:rsidRPr="0006063C" w:rsidSect="00034616">
      <w:footerReference w:type="default" r:id="rId15"/>
      <w:pgSz w:w="11906" w:h="16838"/>
      <w:pgMar w:top="850" w:right="964" w:bottom="850" w:left="964" w:header="425" w:footer="3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8" w:val="right"/>
      </w:tabs>
      <w:spacing w:before="0" w:after="0"/>
    </w:pPr>
    <w:r>
      <w:rPr>
        <w:rFonts w:ascii="Calibri" w:hAnsi="Calibri" w:eastAsia="Calibri" w:cs="Calibri"/>
        <w:color w:val="4D5A60"/>
        <w:sz w:val="15"/>
      </w:rPr>
      <w:t>Dr. Anika Sharma</w:t>
    </w:r>
    <w:r>
      <w:rPr>
        <w:rFonts w:ascii="Calibri" w:hAnsi="Calibri" w:eastAsia="Calibri" w:cs="Calibri"/>
        <w:color w:val="4D5A60"/>
        <w:sz w:val="15"/>
      </w:rPr>
      <w:tab/>
    </w:r>
    <w:r>
      <w:rPr>
        <w:rFonts w:ascii="Calibri" w:hAnsi="Calibri" w:eastAsia="Calibri" w:cs="Calibri"/>
        <w:color w:val="4D5A60"/>
        <w:sz w:val="15"/>
      </w:rPr>
      <w:t xml:space="preserve">Page </w:t>
    </w:r>
    <w:r>
      <w:rPr>
        <w:rFonts w:ascii="Calibri" w:hAnsi="Calibri" w:eastAsia="Calibri" w:cs="Calibri"/>
        <w:color w:val="4D5A60"/>
        <w:sz w:val="15"/>
      </w:rPr>
      <w:fldChar w:fldCharType="begin"/>
    </w:r>
    <w:r>
      <w:rPr>
        <w:rFonts w:ascii="Calibri" w:hAnsi="Calibri" w:eastAsia="Calibri" w:cs="Calibri"/>
        <w:color w:val="4D5A60"/>
        <w:sz w:val="15"/>
      </w:rPr>
      <w:instrText xml:space="preserve"> PAGE </w:instrText>
    </w:r>
    <w:r>
      <w:rPr>
        <w:rFonts w:ascii="Calibri" w:hAnsi="Calibri" w:eastAsia="Calibri" w:cs="Calibri"/>
        <w:color w:val="4D5A60"/>
        <w:sz w:val="15"/>
      </w:rPr>
      <w:fldChar w:fldCharType="separate"/>
    </w:r>
    <w:r>
      <w:rPr>
        <w:rFonts w:ascii="Calibri" w:hAnsi="Calibri" w:eastAsia="Calibri" w:cs="Calibri"/>
        <w:color w:val="4D5A60"/>
        <w:sz w:val="15"/>
      </w:rPr>
      <w:t>1</w:t>
    </w:r>
    <w:r>
      <w:rPr>
        <w:rFonts w:ascii="Calibri" w:hAnsi="Calibri" w:eastAsia="Calibri" w:cs="Calibri"/>
        <w:color w:val="4D5A60"/>
        <w:sz w:val="15"/>
      </w:rPr>
      <w:fldChar w:fldCharType="end"/>
    </w:r>
    <w:r>
      <w:rPr>
        <w:rFonts w:ascii="Calibri" w:hAnsi="Calibri" w:eastAsia="Calibri" w:cs="Calibri"/>
        <w:color w:val="4D5A60"/>
        <w:sz w:val="15"/>
      </w:rPr>
      <w:t xml:space="preserve"> of </w:t>
    </w:r>
    <w:r>
      <w:rPr>
        <w:rFonts w:ascii="Calibri" w:hAnsi="Calibri" w:eastAsia="Calibri" w:cs="Calibri"/>
        <w:color w:val="4D5A60"/>
        <w:sz w:val="15"/>
      </w:rPr>
      <w:fldChar w:fldCharType="begin"/>
    </w:r>
    <w:r>
      <w:rPr>
        <w:rFonts w:ascii="Calibri" w:hAnsi="Calibri" w:eastAsia="Calibri" w:cs="Calibri"/>
        <w:color w:val="4D5A60"/>
        <w:sz w:val="15"/>
      </w:rPr>
      <w:instrText xml:space="preserve"> NUMPAGES </w:instrText>
    </w:r>
    <w:r>
      <w:rPr>
        <w:rFonts w:ascii="Calibri" w:hAnsi="Calibri" w:eastAsia="Calibri" w:cs="Calibri"/>
        <w:color w:val="4D5A60"/>
        <w:sz w:val="15"/>
      </w:rPr>
      <w:fldChar w:fldCharType="separate"/>
    </w:r>
    <w:r>
      <w:rPr>
        <w:rFonts w:ascii="Calibri" w:hAnsi="Calibri" w:eastAsia="Calibri" w:cs="Calibri"/>
        <w:color w:val="4D5A60"/>
        <w:sz w:val="15"/>
      </w:rPr>
      <w:t>1</w:t>
    </w:r>
    <w:r>
      <w:rPr>
        <w:rFonts w:ascii="Calibri" w:hAnsi="Calibri" w:eastAsia="Calibri" w:cs="Calibri"/>
        <w:color w:val="4D5A60"/>
        <w:sz w:val="15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4D5A60"/>
        <w:sz w:val="15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56" w:lineRule="auto" w:line="240"/>
      <w:ind w:left="0" w:firstLine="0"/>
      <w:jc w:val="left"/>
      <w:outlineLvl w:val="0"/>
    </w:pPr>
    <w:rPr>
      <w:rFonts w:ascii="Calibri" w:hAnsi="Calibri" w:eastAsia="Calibri" w:cs="Calibri"/>
      <w:b/>
      <w:bCs/>
      <w:i w:val="0"/>
      <w:caps w:val="0"/>
      <w:smallCaps w:val="0"/>
      <w:color w:val="0F4C5C"/>
      <w:sz w:val="22"/>
      <w:szCs w:val="28"/>
      <w:u w:val="none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47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C1C1C"/>
      <w:sz w:val="19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libri" w:hAnsi="Calibri" w:eastAsia="Calibri" w:cs="Calibri"/>
      <w:b/>
      <w:i w:val="0"/>
      <w:caps w:val="0"/>
      <w:smallCaps w:val="0"/>
      <w:color w:val="0F4C5C"/>
      <w:spacing w:val="5"/>
      <w:kern w:val="28"/>
      <w:sz w:val="40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1C1C1C"/>
      <w:sz w:val="24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21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7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0F4C5C"/>
      <w:sz w:val="22"/>
      <w:u w:val="none"/>
      <w:lang w:val="en-IN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D5A60"/>
      <w:sz w:val="19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D5A60"/>
      <w:sz w:val="16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47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4"/>
      <w:ind w:left="0" w:firstLine="0"/>
      <w:jc w:val="both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47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D5A60"/>
      <w:sz w:val="16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C1C1C"/>
      <w:sz w:val="17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0F4C5C"/>
      <w:sz w:val="21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7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C1C1C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FFFFFF"/>
      <w:sz w:val="40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21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7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0F4C5C"/>
      <w:sz w:val="19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9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C1C1C"/>
      <w:sz w:val="17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0F4C5C"/>
      <w:sz w:val="34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C1C1C"/>
      <w:sz w:val="17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4D5A60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47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0F4C5C"/>
      <w:sz w:val="20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C1C1C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anika-sharma.example.org" TargetMode="External"/><Relationship Id="rId13" Type="http://schemas.openxmlformats.org/officeDocument/2006/relationships/hyperlink" Target="https://doi.org/10.5555/jevs.2024.0123" TargetMode="External"/><Relationship Id="rId14" Type="http://schemas.openxmlformats.org/officeDocument/2006/relationships/hyperlink" Target="https://doi.org/10.5555/ejai.2021.004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Professional resume</dc:title>
  <dc:subject>Scientist 'E' — Avionics and Sensor Systems (deputation)</dc:subject>
  <dc:creator>Dr. Anika Sharma</dc:creator>
  <cp:keywords>Avionics, Electronics engineering, Test &amp; evaluation, Embedded systems, Sensors, Doctoral research, Machine learning, Edge AI, Computer vision, UAV / drone systems, Publications, Coordination</cp:keywords>
  <dc:description>Resume Intelligence Studio 1.0.0</dc:description>
  <cp:lastModifiedBy>Dr. Anika Sharma</cp:lastModifiedBy>
  <cp:revision>1</cp:revision>
  <dcterms:created xsi:type="dcterms:W3CDTF">2026-10-25T04:00:59Z</dcterms:created>
  <dcterms:modified xsi:type="dcterms:W3CDTF">2026-10-25T04:00:59Z</dcterms:modified>
  <cp:category>Resume</cp:category>
  <dc:language>en-IN</dc:language>
</cp:coreProperties>
</file>