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 w:val="0"/>
        <w:spacing w:before="0" w:after="168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p>
      <w:pPr>
        <w:keepNext w:val="0"/>
        <w:spacing w:before="0" w:after="48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  <w:r>
        <w:rPr>
          <w:rFonts w:ascii="Arial" w:hAnsi="Arial" w:eastAsia="Arial"/>
          <w:b/>
          <w:i w:val="0"/>
          <w:color w:val="111111"/>
          <w:sz w:val="20"/>
        </w:rPr>
        <w:t>━━━━━━━━━━━━</w:t>
      </w:r>
    </w:p>
    <w:p>
      <w:pPr>
        <w:keepNext/>
        <w:spacing w:before="0" w:after="400" w:line="259" w:lineRule="auto"/>
      </w:pPr>
      <w:r>
        <w:rPr>
          <w:rFonts w:ascii="Arial" w:hAnsi="Arial" w:eastAsia="Arial"/>
          <w:b/>
          <w:i w:val="0"/>
          <w:color w:val="111111"/>
          <w:sz w:val="58"/>
        </w:rPr>
        <w:t>Memorando de Avaliação</w:t>
        <w:br/>
        <w:t>do TCRIA</w:t>
      </w:r>
    </w:p>
    <w:p>
      <w:pPr>
        <w:keepNext w:val="0"/>
        <w:spacing w:before="0" w:after="400" w:line="259" w:lineRule="auto"/>
      </w:pPr>
      <w:r>
        <w:rPr>
          <w:rFonts w:ascii="Arial" w:hAnsi="Arial" w:eastAsia="Arial"/>
          <w:b w:val="0"/>
          <w:i w:val="0"/>
          <w:color w:val="666666"/>
          <w:sz w:val="24"/>
        </w:rPr>
        <w:t>Desempenho documental, conclusões de auditoria e decisão sobre a próxima integração</w:t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1850"/>
        <w:gridCol w:w="2500"/>
        <w:gridCol w:w="2420"/>
      </w:tblGrid>
      <w:tr>
        <w:trPr>
          <w:tblHeader w:val="true"/>
        </w:trPr>
        <w:tc>
          <w:tcPr>
            <w:tcW w:type="dxa" w:w="2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Destinatário</w:t>
            </w:r>
          </w:p>
        </w:tc>
        <w:tc>
          <w:tcPr>
            <w:tcW w:type="dxa" w:w="1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Responsável</w:t>
            </w:r>
          </w:p>
        </w:tc>
        <w:tc>
          <w:tcPr>
            <w:tcW w:type="dxa" w:w="24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3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Comitê de decisão / responsável humano</w:t>
            </w:r>
          </w:p>
        </w:tc>
        <w:tc>
          <w:tcPr>
            <w:tcW w:type="dxa" w:w="18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17 de agosto de 2026</w:t>
            </w:r>
          </w:p>
        </w:tc>
        <w:tc>
          <w:tcPr>
            <w:tcW w:type="dxa" w:w="25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Equipe do projeto TCRIA</w:t>
            </w:r>
          </w:p>
        </w:tc>
        <w:tc>
          <w:tcPr>
            <w:tcW w:type="dxa" w:w="242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Para discussão e decisão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2300"/>
        <w:gridCol w:w="2300"/>
        <w:gridCol w:w="2020"/>
      </w:tblGrid>
      <w:tr>
        <w:trPr>
          <w:tblHeader w:val="true"/>
        </w:trPr>
        <w:tc>
          <w:tcPr>
            <w:tcW w:type="dxa" w:w="2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Decisão solicitada</w:t>
            </w:r>
          </w:p>
        </w:tc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Compromisso atual</w:t>
            </w:r>
          </w:p>
        </w:tc>
        <w:tc>
          <w:tcPr>
            <w:tcW w:type="dxa" w:w="23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Versão / base</w:t>
            </w:r>
          </w:p>
        </w:tc>
        <w:tc>
          <w:tcPr>
            <w:tcW w:type="dxa" w:w="2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Moeda / escala</w:t>
            </w:r>
          </w:p>
        </w:tc>
      </w:tr>
      <w:tr>
        <w:tc>
          <w:tcPr>
            <w:tcW w:type="dxa" w:w="25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Autorizar preparação e integração condicionada de dois módulos</w:t>
            </w:r>
          </w:p>
        </w:tc>
        <w:tc>
          <w:tcPr>
            <w:tcW w:type="dxa" w:w="23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TCRIA atual processado e avaliado</w:t>
            </w:r>
          </w:p>
        </w:tc>
        <w:tc>
          <w:tcPr>
            <w:tcW w:type="dxa" w:w="23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Repositório c0ee121; execução estrita</w:t>
            </w:r>
          </w:p>
        </w:tc>
        <w:tc>
          <w:tcPr>
            <w:tcW w:type="dxa" w:w="202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Investimento não informado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p>
      <w:pPr>
        <w:keepNext w:val="0"/>
        <w:spacing w:before="240" w:after="120" w:line="259" w:lineRule="auto"/>
      </w:pPr>
      <w:r>
        <w:rPr>
          <w:rFonts w:ascii="Arial" w:hAnsi="Arial" w:eastAsia="Arial"/>
          <w:b w:val="0"/>
          <w:i/>
          <w:color w:val="666666"/>
          <w:sz w:val="18"/>
        </w:rPr>
        <w:t>Nota de escopo: este memorando avalia um teste integralmente fictício. Não representa empresa, cliente, fornecedor, operação, perda ou exposição real.</w:t>
      </w:r>
    </w:p>
    <w:p>
      <w:r>
        <w:br w:type="page"/>
      </w:r>
    </w:p>
    <w:p>
      <w:pPr>
        <w:keepNext/>
        <w:spacing w:before="200" w:after="140"/>
      </w:pPr>
      <w:r>
        <w:rPr>
          <w:rFonts w:ascii="Arial" w:hAnsi="Arial" w:eastAsia="Arial"/>
          <w:b/>
          <w:i w:val="0"/>
          <w:color w:val="111111"/>
          <w:sz w:val="28"/>
        </w:rPr>
        <w:t>1.  Resumo executivo, recomendação e decisão solicitada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  <w:tcBorders>
              <w:left w:val="single" w:sz="18" w:color="11111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21"/>
              </w:rPr>
              <w:t xml:space="preserve">Recomendação:  </w:t>
            </w:r>
            <w:r>
              <w:rPr>
                <w:rFonts w:ascii="Arial" w:hAnsi="Arial" w:eastAsia="Arial"/>
                <w:b w:val="0"/>
                <w:i w:val="0"/>
                <w:color w:val="111111"/>
                <w:sz w:val="21"/>
              </w:rPr>
              <w:t>Prosseguir com a integração apenas de forma condicionada, preservando o TCRIA como camada de governança documental e exigindo que os dois módulos pendentes cubram reconciliação cruzada e validação humana estruturada.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050"/>
        <w:gridCol w:w="1700"/>
        <w:gridCol w:w="1900"/>
        <w:gridCol w:w="1970"/>
      </w:tblGrid>
      <w:tr>
        <w:trPr>
          <w:tblHeader w:val="true"/>
        </w:trPr>
        <w:tc>
          <w:tcPr>
            <w:tcW w:type="dxa" w:w="1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Documentos</w:t>
            </w:r>
          </w:p>
        </w:tc>
        <w:tc>
          <w:tcPr>
            <w:tcW w:type="dxa" w:w="20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Extração</w:t>
            </w:r>
          </w:p>
        </w:tc>
        <w:tc>
          <w:tcPr>
            <w:tcW w:type="dxa" w:w="17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Datas</w:t>
            </w:r>
          </w:p>
        </w:tc>
        <w:tc>
          <w:tcPr>
            <w:tcW w:type="dxa" w:w="1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Valores</w:t>
            </w:r>
          </w:p>
        </w:tc>
        <w:tc>
          <w:tcPr>
            <w:tcW w:type="dxa" w:w="19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Acusações</w:t>
            </w:r>
          </w:p>
        </w:tc>
      </w:tr>
      <w:tr>
        <w:tc>
          <w:tcPr>
            <w:tcW w:type="dxa" w:w="15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type="dxa" w:w="20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20 com status ok</w:t>
            </w:r>
          </w:p>
        </w:tc>
        <w:tc>
          <w:tcPr>
            <w:tcW w:type="dxa" w:w="17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50 ocorrências</w:t>
            </w:r>
          </w:p>
        </w:tc>
        <w:tc>
          <w:tcPr>
            <w:tcW w:type="dxa" w:w="19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56 ocorrências</w:t>
            </w:r>
          </w:p>
        </w:tc>
        <w:tc>
          <w:tcPr>
            <w:tcW w:type="dxa" w:w="197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0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Tese de decisão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O TCRIA comprovou valor em ingestão, proveniência, hashing, classificação e geração de artefatos reproduzíveis.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O TCRIA não reconciliou automaticamente todas as divergências entre documentos; a conclusão exigiu leitura cruzada assistida por IA e validação humana.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A postura conservadora foi adequada: zero acusações e zero bloqueios não foram tratados como ausência de problemas.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A integração dos dois módulos deve ser aprovada somente após definição de contrato, entradas, saídas, testes e critérios de aceitação.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Conclusão da auditoria simulada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Parecer com ressalvas relevantes: os controles internos fictícios não se mostraram suficientemente consistentes para validar sem ressalvas a exatidão, autorização, integridade e documentação das operações de março e abril de 2026. Não há base para afirmar fraude, desvio, dolo ou responsabilidade individual.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Valor nominal dos registros com exceções: </w:t>
      </w:r>
      <w:r>
        <w:rPr>
          <w:rFonts w:ascii="Arial" w:hAnsi="Arial" w:eastAsia="Arial"/>
          <w:b/>
          <w:i w:val="0"/>
          <w:color w:val="111111"/>
          <w:sz w:val="21"/>
        </w:rPr>
        <w:t>R$ 156.900,00</w:t>
      </w:r>
      <w:r>
        <w:rPr>
          <w:rFonts w:ascii="Arial" w:hAnsi="Arial" w:eastAsia="Arial"/>
          <w:b w:val="0"/>
          <w:i w:val="0"/>
          <w:color w:val="111111"/>
          <w:sz w:val="21"/>
        </w:rPr>
        <w:t>. Esse número não representa investimento, prejuízo ou ajuste devido; representa apenas registros fictícios que requerem verificação.</w:t>
      </w:r>
    </w:p>
    <w:p>
      <w:r>
        <w:br w:type="page"/>
      </w:r>
    </w:p>
    <w:p>
      <w:pPr>
        <w:keepNext/>
        <w:spacing w:before="200" w:after="140"/>
      </w:pPr>
      <w:r>
        <w:rPr>
          <w:rFonts w:ascii="Arial" w:hAnsi="Arial" w:eastAsia="Arial"/>
          <w:b/>
          <w:i w:val="0"/>
          <w:color w:val="111111"/>
          <w:sz w:val="28"/>
        </w:rPr>
        <w:t>2.  Contexto, escopo e cronologia do trabalho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Mudança do espaço de trabalho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O repositório https://github.com/batt1984rodrigo-del/tcria-09215b00.git foi clonado para o espaço de trabalho do Codex. A cópia foi confirmada na branch main, sincronizada com origin/main, no commit c0ee121.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Solicitação de teste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Foi solicitado preparar cinco casos de uma empresa de calçados em auditoria, abrangendo Financeiro, Contabilidade, Estoque, Administração e Clientes, com documentos fictícios recolhidos em março e abril e processados pelo TCRIA.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Universo simulado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Foi criada a empresa fictícia Calçados Aurora Ltda., com 21 arquivos de origem: um documento geral e quatro documentos por área. Vinte documentos de área foram submetidos ao pipeline. Todos os nomes, códigos, operações e valores foram criados exclusivamente para o teste.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Evolução das solicitações no chat</w:t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3600"/>
        <w:gridCol w:w="4670"/>
      </w:tblGrid>
      <w:tr>
        <w:trPr>
          <w:tblHeader w:val="true"/>
        </w:trPr>
        <w:tc>
          <w:tcPr>
            <w:tcW w:type="dxa" w:w="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Etapa</w:t>
            </w:r>
          </w:p>
        </w:tc>
        <w:tc>
          <w:tcPr>
            <w:tcW w:type="dxa" w:w="3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Solicitação</w:t>
            </w:r>
          </w:p>
        </w:tc>
        <w:tc>
          <w:tcPr>
            <w:tcW w:type="dxa" w:w="46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8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36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Alterar o espaço de trabalho</w:t>
            </w:r>
          </w:p>
        </w:tc>
        <w:tc>
          <w:tcPr>
            <w:tcW w:type="dxa" w:w="467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Repositório preparado e verificado</w:t>
            </w:r>
          </w:p>
        </w:tc>
      </w:tr>
      <w:tr>
        <w:tc>
          <w:tcPr>
            <w:tcW w:type="dxa" w:w="8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3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Criar cinco casos fictícios</w:t>
            </w:r>
          </w:p>
        </w:tc>
        <w:tc>
          <w:tcPr>
            <w:tcW w:type="dxa" w:w="467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Casos e documentos produzidos</w:t>
            </w:r>
          </w:p>
        </w:tc>
      </w:tr>
      <w:tr>
        <w:tc>
          <w:tcPr>
            <w:tcW w:type="dxa" w:w="8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36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Processar e concluir</w:t>
            </w:r>
          </w:p>
        </w:tc>
        <w:tc>
          <w:tcPr>
            <w:tcW w:type="dxa" w:w="467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Pipeline oficial e modular executados</w:t>
            </w:r>
          </w:p>
        </w:tc>
      </w:tr>
      <w:tr>
        <w:tc>
          <w:tcPr>
            <w:tcW w:type="dxa" w:w="8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type="dxa" w:w="3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Ler como IA</w:t>
            </w:r>
          </w:p>
        </w:tc>
        <w:tc>
          <w:tcPr>
            <w:tcW w:type="dxa" w:w="467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Parecer com ressalvas relevantes</w:t>
            </w:r>
          </w:p>
        </w:tc>
      </w:tr>
      <w:tr>
        <w:tc>
          <w:tcPr>
            <w:tcW w:type="dxa" w:w="8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type="dxa" w:w="36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Estabelecer vantagem</w:t>
            </w:r>
          </w:p>
        </w:tc>
        <w:tc>
          <w:tcPr>
            <w:tcW w:type="dxa" w:w="467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Vantagem comprovada em governança; reconciliação limitada</w:t>
            </w:r>
          </w:p>
        </w:tc>
      </w:tr>
      <w:tr>
        <w:tc>
          <w:tcPr>
            <w:tcW w:type="dxa" w:w="8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type="dxa" w:w="3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Registrar próximos módulos</w:t>
            </w:r>
          </w:p>
        </w:tc>
        <w:tc>
          <w:tcPr>
            <w:tcW w:type="dxa" w:w="467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Dois módulos pendentes para integração</w:t>
            </w:r>
          </w:p>
        </w:tc>
      </w:tr>
      <w:tr>
        <w:tc>
          <w:tcPr>
            <w:tcW w:type="dxa" w:w="8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type="dxa" w:w="36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Criar este documento</w:t>
            </w:r>
          </w:p>
        </w:tc>
        <w:tc>
          <w:tcPr>
            <w:tcW w:type="dxa" w:w="467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Memorando de avaliação do TCRIA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p>
      <w:r>
        <w:br w:type="page"/>
      </w:r>
    </w:p>
    <w:p>
      <w:pPr>
        <w:keepNext/>
        <w:spacing w:before="200" w:after="140"/>
      </w:pPr>
      <w:r>
        <w:rPr>
          <w:rFonts w:ascii="Arial" w:hAnsi="Arial" w:eastAsia="Arial"/>
          <w:b/>
          <w:i w:val="0"/>
          <w:color w:val="111111"/>
          <w:sz w:val="28"/>
        </w:rPr>
        <w:t>3.  Desenho dos cinco casos documentais</w:t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500"/>
        <w:gridCol w:w="4020"/>
      </w:tblGrid>
      <w:tr>
        <w:trPr>
          <w:tblHeader w:val="true"/>
        </w:trPr>
        <w:tc>
          <w:tcPr>
            <w:tcW w:type="dxa" w:w="1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35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Documentos submetidos</w:t>
            </w:r>
          </w:p>
        </w:tc>
        <w:tc>
          <w:tcPr>
            <w:tcW w:type="dxa" w:w="40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Objetivo de teste</w:t>
            </w:r>
          </w:p>
        </w:tc>
      </w:tr>
      <w:tr>
        <w:tc>
          <w:tcPr>
            <w:tcW w:type="dxa" w:w="16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Financeiro</w:t>
            </w:r>
          </w:p>
        </w:tc>
        <w:tc>
          <w:tcPr>
            <w:tcW w:type="dxa" w:w="35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Manifesto, contas a pagar, extrato, aprovações</w:t>
            </w:r>
          </w:p>
        </w:tc>
        <w:tc>
          <w:tcPr>
            <w:tcW w:type="dxa" w:w="402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Conciliar obrigação, débito e autorização</w:t>
            </w:r>
          </w:p>
        </w:tc>
      </w:tr>
      <w:tr>
        <w:tc>
          <w:tcPr>
            <w:tcW w:type="dxa" w:w="1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Contabilidade</w:t>
            </w:r>
          </w:p>
        </w:tc>
        <w:tc>
          <w:tcPr>
            <w:tcW w:type="dxa" w:w="35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Manifesto, diário, razão/fechamento, conciliação</w:t>
            </w:r>
          </w:p>
        </w:tc>
        <w:tc>
          <w:tcPr>
            <w:tcW w:type="dxa" w:w="40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Testar competência, suporte e fechamento</w:t>
            </w:r>
          </w:p>
        </w:tc>
      </w:tr>
      <w:tr>
        <w:tc>
          <w:tcPr>
            <w:tcW w:type="dxa" w:w="16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Estoque</w:t>
            </w:r>
          </w:p>
        </w:tc>
        <w:tc>
          <w:tcPr>
            <w:tcW w:type="dxa" w:w="35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Manifesto, movimentação, inventário, perdas/ajustes</w:t>
            </w:r>
          </w:p>
        </w:tc>
        <w:tc>
          <w:tcPr>
            <w:tcW w:type="dxa" w:w="402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Conciliar saldo escritural e contagem física</w:t>
            </w:r>
          </w:p>
        </w:tc>
      </w:tr>
      <w:tr>
        <w:tc>
          <w:tcPr>
            <w:tcW w:type="dxa" w:w="1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Administração</w:t>
            </w:r>
          </w:p>
        </w:tc>
        <w:tc>
          <w:tcPr>
            <w:tcW w:type="dxa" w:w="35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Manifesto, compras, política/aprovações, contratos</w:t>
            </w:r>
          </w:p>
        </w:tc>
        <w:tc>
          <w:tcPr>
            <w:tcW w:type="dxa" w:w="40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Verificar cotação e aprovação prévia</w:t>
            </w:r>
          </w:p>
        </w:tc>
      </w:tr>
      <w:tr>
        <w:tc>
          <w:tcPr>
            <w:tcW w:type="dxa" w:w="16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Clientes</w:t>
            </w:r>
          </w:p>
        </w:tc>
        <w:tc>
          <w:tcPr>
            <w:tcW w:type="dxa" w:w="35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Manifesto, pedidos/faturas, devoluções, contas a receber</w:t>
            </w:r>
          </w:p>
        </w:tc>
        <w:tc>
          <w:tcPr>
            <w:tcW w:type="dxa" w:w="402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Conciliar pedido, faturamento, entrega e crédito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Método utilizado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Execução estrita do pipeline oficial de governança para cada área.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Execução modular adicional para gerar JSON, Markdown e PDF por área.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Leitura dos resultados estruturados e comparação independente com os valores, datas, códigos e ausências declaradas nos documentos.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Conclusões expressas como sinais para verificação humana, sem narrativa acusatória.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  <w:tcBorders>
              <w:left w:val="single" w:sz="18" w:color="11111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21"/>
              </w:rPr>
              <w:t xml:space="preserve">Limite metodológico:  </w:t>
            </w:r>
            <w:r>
              <w:rPr>
                <w:rFonts w:ascii="Arial" w:hAnsi="Arial" w:eastAsia="Arial"/>
                <w:b w:val="0"/>
                <w:i w:val="0"/>
                <w:color w:val="111111"/>
                <w:sz w:val="21"/>
              </w:rPr>
              <w:t>Classificação documental bem-sucedida não equivale a reconciliação ou validação de mérito. A ausência de acusação não elimina a necessidade de comparar os documentos entre si.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p>
      <w:pPr>
        <w:keepNext/>
        <w:spacing w:before="200" w:after="140"/>
      </w:pPr>
      <w:r>
        <w:rPr>
          <w:rFonts w:ascii="Arial" w:hAnsi="Arial" w:eastAsia="Arial"/>
          <w:b/>
          <w:i w:val="0"/>
          <w:color w:val="111111"/>
          <w:sz w:val="28"/>
        </w:rPr>
        <w:t>4.  Resultado do processamento do TCRIA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Todos os documentos tiveram extração com status ok. O pipeline identificou 50 ocorrências de datas e 56 de valores monetários. Foram gerados relatórios oficiais, revisões de bloqueados, JSON, Markdown e PDFs modulares.</w:t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1050"/>
        <w:gridCol w:w="1800"/>
        <w:gridCol w:w="1350"/>
        <w:gridCol w:w="1550"/>
        <w:gridCol w:w="1520"/>
      </w:tblGrid>
      <w:tr>
        <w:trPr>
          <w:tblHeader w:val="true"/>
        </w:trPr>
        <w:tc>
          <w:tcPr>
            <w:tcW w:type="dxa" w:w="1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10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Arquivos</w:t>
            </w:r>
          </w:p>
        </w:tc>
        <w:tc>
          <w:tcPr>
            <w:tcW w:type="dxa" w:w="18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Evidência relevante</w:t>
            </w:r>
          </w:p>
        </w:tc>
        <w:tc>
          <w:tcPr>
            <w:tcW w:type="dxa" w:w="1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Evidência</w:t>
            </w:r>
          </w:p>
        </w:tc>
        <w:tc>
          <w:tcPr>
            <w:tcW w:type="dxa" w:w="15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Contexto</w:t>
            </w:r>
          </w:p>
        </w:tc>
        <w:tc>
          <w:tcPr>
            <w:tcW w:type="dxa" w:w="15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Acusações</w:t>
            </w:r>
          </w:p>
        </w:tc>
      </w:tr>
      <w:tr>
        <w:tc>
          <w:tcPr>
            <w:tcW w:type="dxa" w:w="18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Financeiro</w:t>
            </w:r>
          </w:p>
        </w:tc>
        <w:tc>
          <w:tcPr>
            <w:tcW w:type="dxa" w:w="10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type="dxa" w:w="18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13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15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152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0</w:t>
            </w:r>
          </w:p>
        </w:tc>
      </w:tr>
      <w:tr>
        <w:tc>
          <w:tcPr>
            <w:tcW w:type="dxa" w:w="18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Contabilidade</w:t>
            </w:r>
          </w:p>
        </w:tc>
        <w:tc>
          <w:tcPr>
            <w:tcW w:type="dxa" w:w="10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13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15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15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0</w:t>
            </w:r>
          </w:p>
        </w:tc>
      </w:tr>
      <w:tr>
        <w:tc>
          <w:tcPr>
            <w:tcW w:type="dxa" w:w="18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Estoque</w:t>
            </w:r>
          </w:p>
        </w:tc>
        <w:tc>
          <w:tcPr>
            <w:tcW w:type="dxa" w:w="10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type="dxa" w:w="18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3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15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152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0</w:t>
            </w:r>
          </w:p>
        </w:tc>
      </w:tr>
      <w:tr>
        <w:tc>
          <w:tcPr>
            <w:tcW w:type="dxa" w:w="18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Administração</w:t>
            </w:r>
          </w:p>
        </w:tc>
        <w:tc>
          <w:tcPr>
            <w:tcW w:type="dxa" w:w="10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type="dxa" w:w="18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13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15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15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0</w:t>
            </w:r>
          </w:p>
        </w:tc>
      </w:tr>
      <w:tr>
        <w:tc>
          <w:tcPr>
            <w:tcW w:type="dxa" w:w="18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Clientes</w:t>
            </w:r>
          </w:p>
        </w:tc>
        <w:tc>
          <w:tcPr>
            <w:tcW w:type="dxa" w:w="10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type="dxa" w:w="18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13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15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152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0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p>
      <w:pPr>
        <w:keepNext/>
        <w:spacing w:before="200" w:after="140"/>
      </w:pPr>
      <w:r>
        <w:rPr>
          <w:rFonts w:ascii="Arial" w:hAnsi="Arial" w:eastAsia="Arial"/>
          <w:b/>
          <w:i w:val="0"/>
          <w:color w:val="111111"/>
          <w:sz w:val="28"/>
        </w:rPr>
        <w:t>5.  Conclusões de auditoria por área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Financeiro — risco alto</w:t>
      </w:r>
    </w:p>
    <w:p>
      <w:pPr>
        <w:keepNext w:val="0"/>
        <w:spacing w:before="0" w:after="8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FIN-002: </w:t>
      </w:r>
      <w:r>
        <w:rPr>
          <w:rFonts w:ascii="Arial" w:hAnsi="Arial" w:eastAsia="Arial"/>
          <w:b w:val="0"/>
          <w:i w:val="0"/>
          <w:color w:val="111111"/>
          <w:sz w:val="21"/>
        </w:rPr>
        <w:t>R$ 22.800,00 no contas a pagar contra R$ 24.800,00 no extrato; diferença de R$ 2.000,00.</w:t>
      </w:r>
    </w:p>
    <w:p>
      <w:pPr>
        <w:keepNext w:val="0"/>
        <w:spacing w:before="0" w:after="8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Débito sem referência: </w:t>
      </w:r>
      <w:r>
        <w:rPr>
          <w:rFonts w:ascii="Arial" w:hAnsi="Arial" w:eastAsia="Arial"/>
          <w:b w:val="0"/>
          <w:i w:val="0"/>
          <w:color w:val="111111"/>
          <w:sz w:val="21"/>
        </w:rPr>
        <w:t>R$ 9.900,00 em 24/04/2026 sem referência interna, beneficiário documentado ou aprovação localizada.</w:t>
      </w:r>
    </w:p>
    <w:p>
      <w:pPr>
        <w:keepNext w:val="0"/>
        <w:spacing w:before="0" w:after="8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FIN-004: </w:t>
      </w:r>
      <w:r>
        <w:rPr>
          <w:rFonts w:ascii="Arial" w:hAnsi="Arial" w:eastAsia="Arial"/>
          <w:b w:val="0"/>
          <w:i w:val="0"/>
          <w:color w:val="111111"/>
          <w:sz w:val="21"/>
        </w:rPr>
        <w:t>pagamento de R$ 31.200,00 realizado com AP-402 pendente e sem assinatura final.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/>
          <w:color w:val="111111"/>
          <w:sz w:val="21"/>
        </w:rPr>
        <w:t>Conclusão: a trilha de pagamento não assegura correspondência integral entre obrigação, valor debitado e autorização.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Contabilidade — risco alto</w:t>
      </w:r>
    </w:p>
    <w:p>
      <w:pPr>
        <w:keepNext w:val="0"/>
        <w:spacing w:before="0" w:after="8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FIN-002: </w:t>
      </w:r>
      <w:r>
        <w:rPr>
          <w:rFonts w:ascii="Arial" w:hAnsi="Arial" w:eastAsia="Arial"/>
          <w:b w:val="0"/>
          <w:i w:val="0"/>
          <w:color w:val="111111"/>
          <w:sz w:val="21"/>
        </w:rPr>
        <w:t>a diferença de R$ 2.000,00 permanece sem solução na conciliação.</w:t>
      </w:r>
    </w:p>
    <w:p>
      <w:pPr>
        <w:keepNext w:val="0"/>
        <w:spacing w:before="0" w:after="8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Débito não contabilizado: </w:t>
      </w:r>
      <w:r>
        <w:rPr>
          <w:rFonts w:ascii="Arial" w:hAnsi="Arial" w:eastAsia="Arial"/>
          <w:b w:val="0"/>
          <w:i w:val="0"/>
          <w:color w:val="111111"/>
          <w:sz w:val="21"/>
        </w:rPr>
        <w:t>R$ 9.900,00 sem lançamento correspondente.</w:t>
      </w:r>
    </w:p>
    <w:p>
      <w:pPr>
        <w:keepNext w:val="0"/>
        <w:spacing w:before="0" w:after="8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CTB-403: </w:t>
      </w:r>
      <w:r>
        <w:rPr>
          <w:rFonts w:ascii="Arial" w:hAnsi="Arial" w:eastAsia="Arial"/>
          <w:b w:val="0"/>
          <w:i w:val="0"/>
          <w:color w:val="111111"/>
          <w:sz w:val="21"/>
        </w:rPr>
        <w:t>provisão de R$ 12.700,00 sem nota fiscal, contrato ou memória de cálculo.</w:t>
      </w:r>
    </w:p>
    <w:p>
      <w:pPr>
        <w:keepNext w:val="0"/>
        <w:spacing w:before="0" w:after="8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Fechamento de abril: </w:t>
      </w:r>
      <w:r>
        <w:rPr>
          <w:rFonts w:ascii="Arial" w:hAnsi="Arial" w:eastAsia="Arial"/>
          <w:b w:val="0"/>
          <w:i w:val="0"/>
          <w:color w:val="111111"/>
          <w:sz w:val="21"/>
        </w:rPr>
        <w:t>sem assinatura e sem data de revisão.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/>
          <w:color w:val="111111"/>
          <w:sz w:val="21"/>
        </w:rPr>
        <w:t>Conclusão: o fechamento de abril não oferece evidência suficiente de completude, corte e revisão.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Estoque — risco alto</w:t>
      </w:r>
    </w:p>
    <w:p>
      <w:pPr>
        <w:keepNext w:val="0"/>
        <w:spacing w:before="0" w:after="8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TEN-URB-40: </w:t>
      </w:r>
      <w:r>
        <w:rPr>
          <w:rFonts w:ascii="Arial" w:hAnsi="Arial" w:eastAsia="Arial"/>
          <w:b w:val="0"/>
          <w:i w:val="0"/>
          <w:color w:val="111111"/>
          <w:sz w:val="21"/>
        </w:rPr>
        <w:t>falta de 8 pares, integralmente apoiada por registro aprovado de perda.</w:t>
      </w:r>
    </w:p>
    <w:p>
      <w:pPr>
        <w:keepNext w:val="0"/>
        <w:spacing w:before="0" w:after="8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BOT-TRIL-42: </w:t>
      </w:r>
      <w:r>
        <w:rPr>
          <w:rFonts w:ascii="Arial" w:hAnsi="Arial" w:eastAsia="Arial"/>
          <w:b w:val="0"/>
          <w:i w:val="0"/>
          <w:color w:val="111111"/>
          <w:sz w:val="21"/>
        </w:rPr>
        <w:t>falta de 23 pares; 10 com baixa pendente e 13 sem justificativa documental.</w:t>
      </w:r>
    </w:p>
    <w:p>
      <w:pPr>
        <w:keepNext w:val="0"/>
        <w:spacing w:before="0" w:after="8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SAN-LUZ-36: </w:t>
      </w:r>
      <w:r>
        <w:rPr>
          <w:rFonts w:ascii="Arial" w:hAnsi="Arial" w:eastAsia="Arial"/>
          <w:b w:val="0"/>
          <w:i w:val="0"/>
          <w:color w:val="111111"/>
          <w:sz w:val="21"/>
        </w:rPr>
        <w:t>excedente de 4 pares sem justificativa; não consta recontagem independente.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/>
          <w:color w:val="111111"/>
          <w:sz w:val="21"/>
        </w:rPr>
        <w:t>Conclusão: o saldo não pode ser validado sem ressalva; há 17 pares com diferenças sem justificativa e 10 pares aguardando aprovação de baixa.</w:t>
      </w:r>
    </w:p>
    <w:p>
      <w:r>
        <w:br w:type="page"/>
      </w:r>
    </w:p>
    <w:p>
      <w:pPr>
        <w:keepNext/>
        <w:spacing w:before="200" w:after="140"/>
      </w:pPr>
      <w:r>
        <w:rPr>
          <w:rFonts w:ascii="Arial" w:hAnsi="Arial" w:eastAsia="Arial"/>
          <w:b/>
          <w:i w:val="0"/>
          <w:color w:val="111111"/>
          <w:sz w:val="28"/>
        </w:rPr>
        <w:t>6.  Conclusões por área — continuação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Administração — risco alto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ADM-032, R$ 14.500,00: duas cotações quando a política exige três.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ADM-041, R$ 45.000,00: uma cotação e aprovação seis dias após a contratação.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ADM-042, R$ 27.900,00: aprovação da diretoria não localizada.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/>
          <w:color w:val="111111"/>
          <w:sz w:val="21"/>
        </w:rPr>
        <w:t>Conclusão: três dos quatro processos examinados apresentam exceções perante a política de compras simulada.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Clientes — risco moderado a alto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FAT-302: R$ 31.750,00 faturados contra pedido de R$ 28.750,00; diferença de R$ 3.000,00 sem aditivo.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DEV-401: devolução de R$ 1.800,00 sem nota de crédito localizada e ainda não refletida no saldo.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PED-402: R$ 8.900,00 sem comprovante de entrega localizado.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/>
          <w:color w:val="111111"/>
          <w:sz w:val="21"/>
        </w:rPr>
        <w:t>Conclusão: os três registros não devem ser considerados integralmente validados até obtenção ou regularização dos documentos.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Síntese quantitativa</w:t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50"/>
        <w:gridCol w:w="1900"/>
        <w:gridCol w:w="4470"/>
      </w:tblGrid>
      <w:tr>
        <w:trPr>
          <w:tblHeader w:val="true"/>
        </w:trPr>
        <w:tc>
          <w:tcPr>
            <w:tcW w:type="dxa" w:w="27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Dimensão</w:t>
            </w:r>
          </w:p>
        </w:tc>
        <w:tc>
          <w:tcPr>
            <w:tcW w:type="dxa" w:w="1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44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Interpretação correta</w:t>
            </w:r>
          </w:p>
        </w:tc>
      </w:tr>
      <w:tr>
        <w:tc>
          <w:tcPr>
            <w:tcW w:type="dxa" w:w="27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Registros com exceções</w:t>
            </w:r>
          </w:p>
        </w:tc>
        <w:tc>
          <w:tcPr>
            <w:tcW w:type="dxa" w:w="19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R$ 156.900,00</w:t>
            </w:r>
          </w:p>
        </w:tc>
        <w:tc>
          <w:tcPr>
            <w:tcW w:type="dxa" w:w="447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Valor nominal para verificação; não é prejuízo</w:t>
            </w:r>
          </w:p>
        </w:tc>
      </w:tr>
      <w:tr>
        <w:tc>
          <w:tcPr>
            <w:tcW w:type="dxa" w:w="27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Faltas sem justificativa</w:t>
            </w:r>
          </w:p>
        </w:tc>
        <w:tc>
          <w:tcPr>
            <w:tcW w:type="dxa" w:w="19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13 pares</w:t>
            </w:r>
          </w:p>
        </w:tc>
        <w:tc>
          <w:tcPr>
            <w:tcW w:type="dxa" w:w="447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Requer investigação e recontagem</w:t>
            </w:r>
          </w:p>
        </w:tc>
      </w:tr>
      <w:tr>
        <w:tc>
          <w:tcPr>
            <w:tcW w:type="dxa" w:w="27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Baixa pendente</w:t>
            </w:r>
          </w:p>
        </w:tc>
        <w:tc>
          <w:tcPr>
            <w:tcW w:type="dxa" w:w="19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10 pares</w:t>
            </w:r>
          </w:p>
        </w:tc>
        <w:tc>
          <w:tcPr>
            <w:tcW w:type="dxa" w:w="447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Requer decisão formal</w:t>
            </w:r>
          </w:p>
        </w:tc>
      </w:tr>
      <w:tr>
        <w:tc>
          <w:tcPr>
            <w:tcW w:type="dxa" w:w="27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Excedente sem justificativa</w:t>
            </w:r>
          </w:p>
        </w:tc>
        <w:tc>
          <w:tcPr>
            <w:tcW w:type="dxa" w:w="19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4 pares</w:t>
            </w:r>
          </w:p>
        </w:tc>
        <w:tc>
          <w:tcPr>
            <w:tcW w:type="dxa" w:w="447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Requer reconciliação</w:t>
            </w:r>
          </w:p>
        </w:tc>
      </w:tr>
      <w:tr>
        <w:tc>
          <w:tcPr>
            <w:tcW w:type="dxa" w:w="27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Perda com suporte</w:t>
            </w:r>
          </w:p>
        </w:tc>
        <w:tc>
          <w:tcPr>
            <w:tcW w:type="dxa" w:w="19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8 pares</w:t>
            </w:r>
          </w:p>
        </w:tc>
        <w:tc>
          <w:tcPr>
            <w:tcW w:type="dxa" w:w="447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Documentalmente explicada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p>
      <w:r>
        <w:br w:type="page"/>
      </w:r>
    </w:p>
    <w:p>
      <w:pPr>
        <w:keepNext/>
        <w:spacing w:before="200" w:after="140"/>
      </w:pPr>
      <w:r>
        <w:rPr>
          <w:rFonts w:ascii="Arial" w:hAnsi="Arial" w:eastAsia="Arial"/>
          <w:b/>
          <w:i w:val="0"/>
          <w:color w:val="111111"/>
          <w:sz w:val="28"/>
        </w:rPr>
        <w:t>7.  Vantagem estabelecida no processamento anterior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  <w:tcBorders>
              <w:left w:val="single" w:sz="18" w:color="11111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21"/>
              </w:rPr>
              <w:t xml:space="preserve">Conclusão:  </w:t>
            </w:r>
            <w:r>
              <w:rPr>
                <w:rFonts w:ascii="Arial" w:hAnsi="Arial" w:eastAsia="Arial"/>
                <w:b w:val="0"/>
                <w:i w:val="0"/>
                <w:color w:val="111111"/>
                <w:sz w:val="21"/>
              </w:rPr>
              <w:t>Houve vantagem significativa e demonstrável na preparação da auditoria, mas não evidência suficiente para quantificar ganho percentual de tempo, custo ou precisão.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Vantagens comprovadas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Conversão de documentos dispersos em conjunto estruturado, reproduzível e auditável.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Preservação de caminhos, hashes, tamanho, método e status de extração.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Classificação consistente entre evidência relevante, evidência e contexto neutro.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Geração de artefatos em formatos adequados a automação e revisão humana: JSON, Markdown e PDF.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Postura não acusatória: nenhuma inferência de fraude ou responsabilidade foi promovida pelo sistema.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Base organizada que reduziu a dificuldade da leitura cruzada posterior por IA e por auditor humano.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Vantagens não demonstradas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Não houve execução-controle do mesmo trabalho inteiramente manual; portanto, não se pode declarar percentual de economia de tempo ou custo.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Não houve benchmark de precisão, recall ou cobertura contra um conjunto-verdade formal.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O pipeline não converteu automaticamente todas as divergências cruzadas em achados estruturados.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Formulação final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O TCRIA gerou vantagem em ingestão, rastreabilidade, organização, classificação e governança documental. A vantagem foi limitada na conciliação contábil e na descoberta automática de inconsistências entre arquivos, que ainda exigiram análise assistida por IA e validação humana.</w:t>
      </w:r>
    </w:p>
    <w:p>
      <w:r>
        <w:br w:type="page"/>
      </w:r>
    </w:p>
    <w:p>
      <w:pPr>
        <w:keepNext/>
        <w:spacing w:before="200" w:after="140"/>
      </w:pPr>
      <w:r>
        <w:rPr>
          <w:rFonts w:ascii="Arial" w:hAnsi="Arial" w:eastAsia="Arial"/>
          <w:b/>
          <w:i w:val="0"/>
          <w:color w:val="111111"/>
          <w:sz w:val="28"/>
        </w:rPr>
        <w:t>8.  Limitações, riscos e lacunas técnicas</w:t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50"/>
        <w:gridCol w:w="2600"/>
        <w:gridCol w:w="1900"/>
        <w:gridCol w:w="2470"/>
      </w:tblGrid>
      <w:tr>
        <w:trPr>
          <w:tblHeader w:val="true"/>
        </w:trPr>
        <w:tc>
          <w:tcPr>
            <w:tcW w:type="dxa" w:w="21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Risco / lacuna</w:t>
            </w:r>
          </w:p>
        </w:tc>
        <w:tc>
          <w:tcPr>
            <w:tcW w:type="dxa" w:w="26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Evidência</w:t>
            </w:r>
          </w:p>
        </w:tc>
        <w:tc>
          <w:tcPr>
            <w:tcW w:type="dxa" w:w="190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Impacto</w:t>
            </w:r>
          </w:p>
        </w:tc>
        <w:tc>
          <w:tcPr>
            <w:tcW w:type="dxa" w:w="247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Tratamento</w:t>
            </w:r>
          </w:p>
        </w:tc>
      </w:tr>
      <w:tr>
        <w:tc>
          <w:tcPr>
            <w:tcW w:type="dxa" w:w="21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Classificação confundida com conclusão</w:t>
            </w:r>
          </w:p>
        </w:tc>
        <w:tc>
          <w:tcPr>
            <w:tcW w:type="dxa" w:w="26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0 acusações apesar das exceções</w:t>
            </w:r>
          </w:p>
        </w:tc>
        <w:tc>
          <w:tcPr>
            <w:tcW w:type="dxa" w:w="19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Falso conforto</w:t>
            </w:r>
          </w:p>
        </w:tc>
        <w:tc>
          <w:tcPr>
            <w:tcW w:type="dxa" w:w="247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Separar governança de reconciliação</w:t>
            </w:r>
          </w:p>
        </w:tc>
      </w:tr>
      <w:tr>
        <w:tc>
          <w:tcPr>
            <w:tcW w:type="dxa" w:w="21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Reconciliação cruzada limitada</w:t>
            </w:r>
          </w:p>
        </w:tc>
        <w:tc>
          <w:tcPr>
            <w:tcW w:type="dxa" w:w="2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Diferenças encontradas por leitura comparada</w:t>
            </w:r>
          </w:p>
        </w:tc>
        <w:tc>
          <w:tcPr>
            <w:tcW w:type="dxa" w:w="19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Achados podem passar despercebidos</w:t>
            </w:r>
          </w:p>
        </w:tc>
        <w:tc>
          <w:tcPr>
            <w:tcW w:type="dxa" w:w="247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Módulo de reconciliação</w:t>
            </w:r>
          </w:p>
        </w:tc>
      </w:tr>
      <w:tr>
        <w:tc>
          <w:tcPr>
            <w:tcW w:type="dxa" w:w="21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Validação humana não estruturada</w:t>
            </w:r>
          </w:p>
        </w:tc>
        <w:tc>
          <w:tcPr>
            <w:tcW w:type="dxa" w:w="26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Conclusão produzida fora do pipeline</w:t>
            </w:r>
          </w:p>
        </w:tc>
        <w:tc>
          <w:tcPr>
            <w:tcW w:type="dxa" w:w="19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Baixa repetibilidade decisória</w:t>
            </w:r>
          </w:p>
        </w:tc>
        <w:tc>
          <w:tcPr>
            <w:tcW w:type="dxa" w:w="247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Módulo de revisão e aceite</w:t>
            </w:r>
          </w:p>
        </w:tc>
      </w:tr>
      <w:tr>
        <w:tc>
          <w:tcPr>
            <w:tcW w:type="dxa" w:w="21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Benchmark ausente</w:t>
            </w:r>
          </w:p>
        </w:tc>
        <w:tc>
          <w:tcPr>
            <w:tcW w:type="dxa" w:w="26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Sem controle manual comparável</w:t>
            </w:r>
          </w:p>
        </w:tc>
        <w:tc>
          <w:tcPr>
            <w:tcW w:type="dxa" w:w="190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Ganho não quantificável</w:t>
            </w:r>
          </w:p>
        </w:tc>
        <w:tc>
          <w:tcPr>
            <w:tcW w:type="dxa" w:w="247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Criar conjunto-verdade e métricas</w:t>
            </w:r>
          </w:p>
        </w:tc>
      </w:tr>
      <w:tr>
        <w:tc>
          <w:tcPr>
            <w:tcW w:type="dxa" w:w="21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Escopo fictício e curto</w:t>
            </w:r>
          </w:p>
        </w:tc>
        <w:tc>
          <w:tcPr>
            <w:tcW w:type="dxa" w:w="26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Cinco áreas; dois meses</w:t>
            </w:r>
          </w:p>
        </w:tc>
        <w:tc>
          <w:tcPr>
            <w:tcW w:type="dxa" w:w="190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Generalização limitada</w:t>
            </w:r>
          </w:p>
        </w:tc>
        <w:tc>
          <w:tcPr>
            <w:tcW w:type="dxa" w:w="247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Expandir piloto com casos autorizados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  <w:tcBorders>
              <w:left w:val="single" w:sz="18" w:color="11111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21"/>
              </w:rPr>
              <w:t xml:space="preserve">Governança:  </w:t>
            </w:r>
            <w:r>
              <w:rPr>
                <w:rFonts w:ascii="Arial" w:hAnsi="Arial" w:eastAsia="Arial"/>
                <w:b w:val="0"/>
                <w:i w:val="0"/>
                <w:color w:val="111111"/>
                <w:sz w:val="21"/>
              </w:rPr>
              <w:t>O TCRIA não é uma autoridade decisória. Ele organiza sinais para verificação; a decisão, a validação dos achados e qualquer consequência permanecem humanas.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p>
      <w:pPr>
        <w:keepNext/>
        <w:spacing w:before="200" w:after="140"/>
      </w:pPr>
      <w:r>
        <w:rPr>
          <w:rFonts w:ascii="Arial" w:hAnsi="Arial" w:eastAsia="Arial"/>
          <w:b/>
          <w:i w:val="0"/>
          <w:color w:val="111111"/>
          <w:sz w:val="28"/>
        </w:rPr>
        <w:t>9.  Dois módulos pendentes e integração planejada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O chat registra que ainda faltam dois módulos e que a integração será realizada na próxima sessão. Os nomes e contratos técnicos desses módulos não foram fornecidos; por isso, este memorando não os inventa.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Hipóteses funcionais a confirmar — não decisões tomadas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Capacidade 1 a confirmar: reconciliação cruzada de valores, datas, identificadores, quantidades, aprovações e documentos relacionados.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Capacidade 2 a confirmar: revisão humana estruturada, com aceite, rejeição, justificativa, responsável e trilha de decisão.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Contrato mínimo antes de integrar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Nome, finalidade e proprietário de cada módulo.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Esquema de entrada e saída, tratamento de ausência e códigos de erro.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Posição exata no fluxo: produtor, adaptador, consumidor e interface de revisão.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Critérios de aceitação com os cinco casos já criados e casos negativos.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Garantias de proveniência, idempotência, rastreabilidade e ausência de conclusões acusatórias automáticas.</w:t>
      </w:r>
    </w:p>
    <w:p>
      <w:r>
        <w:br w:type="page"/>
      </w:r>
    </w:p>
    <w:p>
      <w:pPr>
        <w:keepNext/>
        <w:spacing w:before="200" w:after="140"/>
      </w:pPr>
      <w:r>
        <w:rPr>
          <w:rFonts w:ascii="Arial" w:hAnsi="Arial" w:eastAsia="Arial"/>
          <w:b/>
          <w:i w:val="0"/>
          <w:color w:val="111111"/>
          <w:sz w:val="28"/>
        </w:rPr>
        <w:t>10.  Decisão recomendada e condições de aprovação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Decisão recomendada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Aprovar a preparação e a integração técnica condicionada dos dois módulos, sem autorizar expansão de escopo, infraestrutura adicional ou uso de dados reais até que os contratos e os testes estejam definidos.</w:t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Condições obrigatórias</w:t>
      </w:r>
    </w:p>
    <w:tbl>
      <w:tblPr>
        <w:tblW w:type="dxa" w:w="912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3850"/>
        <w:gridCol w:w="3920"/>
      </w:tblGrid>
      <w:tr>
        <w:trPr>
          <w:tblHeader w:val="true"/>
        </w:trPr>
        <w:tc>
          <w:tcPr>
            <w:tcW w:type="dxa" w:w="13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Gate</w:t>
            </w:r>
          </w:p>
        </w:tc>
        <w:tc>
          <w:tcPr>
            <w:tcW w:type="dxa" w:w="385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Critério de aprovação</w:t>
            </w:r>
          </w:p>
        </w:tc>
        <w:tc>
          <w:tcPr>
            <w:tcW w:type="dxa" w:w="39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111111"/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Evidência exigida</w:t>
            </w:r>
          </w:p>
        </w:tc>
      </w:tr>
      <w:tr>
        <w:tc>
          <w:tcPr>
            <w:tcW w:type="dxa" w:w="13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Contrato</w:t>
            </w:r>
          </w:p>
        </w:tc>
        <w:tc>
          <w:tcPr>
            <w:tcW w:type="dxa" w:w="38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Entradas, saídas e limites definidos</w:t>
            </w:r>
          </w:p>
        </w:tc>
        <w:tc>
          <w:tcPr>
            <w:tcW w:type="dxa" w:w="392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Esquema versionado e exemplos</w:t>
            </w:r>
          </w:p>
        </w:tc>
      </w:tr>
      <w:tr>
        <w:tc>
          <w:tcPr>
            <w:tcW w:type="dxa" w:w="13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Fluxo</w:t>
            </w:r>
          </w:p>
        </w:tc>
        <w:tc>
          <w:tcPr>
            <w:tcW w:type="dxa" w:w="38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Integração ponta a ponta conhecida</w:t>
            </w:r>
          </w:p>
        </w:tc>
        <w:tc>
          <w:tcPr>
            <w:tcW w:type="dxa" w:w="39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Mapa produtor → adaptador → revisor</w:t>
            </w:r>
          </w:p>
        </w:tc>
      </w:tr>
      <w:tr>
        <w:tc>
          <w:tcPr>
            <w:tcW w:type="dxa" w:w="13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Cobertura</w:t>
            </w:r>
          </w:p>
        </w:tc>
        <w:tc>
          <w:tcPr>
            <w:tcW w:type="dxa" w:w="38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Divergências dos cinco casos detectadas</w:t>
            </w:r>
          </w:p>
        </w:tc>
        <w:tc>
          <w:tcPr>
            <w:tcW w:type="dxa" w:w="392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Testes com resultados esperados</w:t>
            </w:r>
          </w:p>
        </w:tc>
      </w:tr>
      <w:tr>
        <w:tc>
          <w:tcPr>
            <w:tcW w:type="dxa" w:w="13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Governança</w:t>
            </w:r>
          </w:p>
        </w:tc>
        <w:tc>
          <w:tcPr>
            <w:tcW w:type="dxa" w:w="38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Nenhuma acusação automática</w:t>
            </w:r>
          </w:p>
        </w:tc>
        <w:tc>
          <w:tcPr>
            <w:tcW w:type="dxa" w:w="39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Saída em sinais para verificação</w:t>
            </w:r>
          </w:p>
        </w:tc>
      </w:tr>
      <w:tr>
        <w:tc>
          <w:tcPr>
            <w:tcW w:type="dxa" w:w="13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Revisão humana</w:t>
            </w:r>
          </w:p>
        </w:tc>
        <w:tc>
          <w:tcPr>
            <w:tcW w:type="dxa" w:w="385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Aceite e justificativa persistidos</w:t>
            </w:r>
          </w:p>
        </w:tc>
        <w:tc>
          <w:tcPr>
            <w:tcW w:type="dxa" w:w="3920"/>
            <w:shd w:fill="F2F2F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Trilha auditável por responsável</w:t>
            </w:r>
          </w:p>
        </w:tc>
      </w:tr>
      <w:tr>
        <w:tc>
          <w:tcPr>
            <w:tcW w:type="dxa" w:w="13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Regressão</w:t>
            </w:r>
          </w:p>
        </w:tc>
        <w:tc>
          <w:tcPr>
            <w:tcW w:type="dxa" w:w="385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Pipeline atual permanece íntegro</w:t>
            </w:r>
          </w:p>
        </w:tc>
        <w:tc>
          <w:tcPr>
            <w:tcW w:type="dxa" w:w="3920"/>
            <w:shd w:fill="FFFFFF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i w:val="0"/>
                <w:color w:val="111111"/>
                <w:sz w:val="18"/>
              </w:rPr>
              <w:t>Testes, PDFs e JSON comparáveis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p>
      <w:pPr>
        <w:keepNext/>
        <w:spacing w:before="140" w:after="80" w:line="259" w:lineRule="auto"/>
      </w:pPr>
      <w:r>
        <w:rPr>
          <w:rFonts w:ascii="Arial" w:hAnsi="Arial" w:eastAsia="Arial"/>
          <w:b/>
          <w:i w:val="0"/>
          <w:color w:val="111111"/>
          <w:sz w:val="22"/>
        </w:rPr>
        <w:t>Critério de parada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A integração deve ser interrompida se qualquer módulo eliminar proveniência, promover inferência acusatória, alterar silenciosamente documentos de origem, misturar registros sem identificadores rastreáveis ou impedir revisão humana.</w:t>
      </w:r>
    </w:p>
    <w:tbl>
      <w:tblPr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c>
          <w:tcPr>
            <w:tcW w:type="dxa" w:w="912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F2F2F2"/>
            <w:tcBorders>
              <w:left w:val="single" w:sz="18" w:color="111111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111111"/>
                <w:sz w:val="21"/>
              </w:rPr>
              <w:t xml:space="preserve">Parecer final:  </w:t>
            </w:r>
            <w:r>
              <w:rPr>
                <w:rFonts w:ascii="Arial" w:hAnsi="Arial" w:eastAsia="Arial"/>
                <w:b w:val="0"/>
                <w:i w:val="0"/>
                <w:color w:val="111111"/>
                <w:sz w:val="21"/>
              </w:rPr>
              <w:t>O TCRIA demonstrou valor suficiente para justificar a próxima etapa técnica, desde que os dois módulos sejam integrados sob contrato explícito, teste mensurável e responsabilidade humana. A recomendação é avançar com condições, não aprovar de forma irrestrita.</w:t>
            </w:r>
          </w:p>
        </w:tc>
      </w:tr>
    </w:tbl>
    <w:p>
      <w:pPr>
        <w:keepNext w:val="0"/>
        <w:spacing w:before="0" w:after="40" w:line="259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</w:r>
    </w:p>
    <w:p>
      <w:r>
        <w:br w:type="page"/>
      </w:r>
    </w:p>
    <w:p>
      <w:pPr>
        <w:keepNext/>
        <w:spacing w:before="200" w:after="140"/>
      </w:pPr>
      <w:r>
        <w:rPr>
          <w:rFonts w:ascii="Arial" w:hAnsi="Arial" w:eastAsia="Arial"/>
          <w:b/>
          <w:i w:val="0"/>
          <w:color w:val="111111"/>
          <w:sz w:val="28"/>
        </w:rPr>
        <w:t>11.  Apêndice — registro completo do conteúdo do chat</w:t>
      </w:r>
    </w:p>
    <w:p>
      <w:pPr>
        <w:keepNext w:val="0"/>
        <w:spacing w:before="0" w:after="120" w:line="259" w:lineRule="auto"/>
      </w:pPr>
      <w:r>
        <w:rPr>
          <w:rFonts w:ascii="Arial" w:hAnsi="Arial" w:eastAsia="Arial"/>
          <w:b w:val="0"/>
          <w:i/>
          <w:color w:val="666666"/>
          <w:sz w:val="18"/>
        </w:rPr>
        <w:t>O registro abaixo preserva o conteúdo substantivo da conversa em ordem cronológica. Mensagens técnicas internas, chamadas de ferramenta, permissões e metadados do sistema não fazem parte do chat do usuário e não são reproduzidos.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Usuário: </w:t>
      </w:r>
      <w:r>
        <w:rPr>
          <w:rFonts w:ascii="Arial" w:hAnsi="Arial" w:eastAsia="Arial"/>
          <w:b w:val="0"/>
          <w:i w:val="0"/>
          <w:color w:val="111111"/>
          <w:sz w:val="21"/>
        </w:rPr>
        <w:t>Alterar espaço de trabalho para https://github.com/batt1984rodrigo-del/tcria-09215b00.git.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Codex: </w:t>
      </w:r>
      <w:r>
        <w:rPr>
          <w:rFonts w:ascii="Arial" w:hAnsi="Arial" w:eastAsia="Arial"/>
          <w:b w:val="0"/>
          <w:i w:val="0"/>
          <w:color w:val="111111"/>
          <w:sz w:val="21"/>
        </w:rPr>
        <w:t>O repositório foi preparado no espaço de trabalho. Branch main sincronizada com origin/main; commit c0ee121. O checkout seria usado nas próximas solicitações.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Usuário: </w:t>
      </w:r>
      <w:r>
        <w:rPr>
          <w:rFonts w:ascii="Arial" w:hAnsi="Arial" w:eastAsia="Arial"/>
          <w:b w:val="0"/>
          <w:i w:val="0"/>
          <w:color w:val="111111"/>
          <w:sz w:val="21"/>
        </w:rPr>
        <w:t>Preparar cinco casos das áreas Financeiro, Contabilidade, Estoque, Administração e Clientes para uma empresa de calçados em auditoria. Todos os documentos de março e abril deveriam ser fictícios, processados pelo TCRIA e acompanhados de conclusões.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Codex: </w:t>
      </w:r>
      <w:r>
        <w:rPr>
          <w:rFonts w:ascii="Arial" w:hAnsi="Arial" w:eastAsia="Arial"/>
          <w:b w:val="0"/>
          <w:i w:val="0"/>
          <w:color w:val="111111"/>
          <w:sz w:val="21"/>
        </w:rPr>
        <w:t>Foram criados 21 arquivos fictícios da Calçados Aurora Ltda. e processados 20 documentos de área. O pipeline oficial e os relatórios modulares foram executados. Resultado: extração ok em todos, 50 datas, 56 valores, zero acusações e zero bloqueios. Foram entregues documentos, resultados oficiais, cinco PDFs e conclusões.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Codex — conclusões: </w:t>
      </w:r>
      <w:r>
        <w:rPr>
          <w:rFonts w:ascii="Arial" w:hAnsi="Arial" w:eastAsia="Arial"/>
          <w:b w:val="0"/>
          <w:i w:val="0"/>
          <w:color w:val="111111"/>
          <w:sz w:val="21"/>
        </w:rPr>
        <w:t>Financeiro: diferença de R$ 2.000,00, débito de R$ 9.900,00 sem referência e pagamento de R$ 31.200,00 sem aprovação final. Contabilidade: débito não contabilizado, provisão de R$ 12.700,00 sem suporte e fechamento sem assinatura. Estoque: 13 pares faltantes sem justificativa, 10 com baixa pendente e 4 excedentes. Administração: falhas de cotação e aprovação. Clientes: faturamento R$ 3.000,00 acima do pedido, devolução de R$ 1.800,00 sem crédito e venda de R$ 8.900,00 sem comprovante de entrega.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Usuário: </w:t>
      </w:r>
      <w:r>
        <w:rPr>
          <w:rFonts w:ascii="Arial" w:hAnsi="Arial" w:eastAsia="Arial"/>
          <w:b w:val="0"/>
          <w:i w:val="0"/>
          <w:color w:val="111111"/>
          <w:sz w:val="21"/>
        </w:rPr>
        <w:t>Como IA, ler os resultados usando-os como apoio e fornecer uma conclusão de auditoria, tentando ser perfeito.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Codex: </w:t>
      </w:r>
      <w:r>
        <w:rPr>
          <w:rFonts w:ascii="Arial" w:hAnsi="Arial" w:eastAsia="Arial"/>
          <w:b w:val="0"/>
          <w:i w:val="0"/>
          <w:color w:val="111111"/>
          <w:sz w:val="21"/>
        </w:rPr>
        <w:t>Foi emitido parecer com ressalvas relevantes. Os controles fictícios não se mostraram suficientemente consistentes para validar sem ressalvas exatidão, autorização, integridade e documentação. Registros com exceções somaram R$ 156.900,00 sem dupla contagem. Não houve base para afirmar fraude, desvio, dolo ou responsabilidade individual.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Usuário: </w:t>
      </w:r>
      <w:r>
        <w:rPr>
          <w:rFonts w:ascii="Arial" w:hAnsi="Arial" w:eastAsia="Arial"/>
          <w:b w:val="0"/>
          <w:i w:val="0"/>
          <w:color w:val="111111"/>
          <w:sz w:val="21"/>
        </w:rPr>
        <w:t>Perguntou se houve vantagem no processamento anterior do TCRIA e se ela poderia ser estabelecida.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Codex: </w:t>
      </w:r>
      <w:r>
        <w:rPr>
          <w:rFonts w:ascii="Arial" w:hAnsi="Arial" w:eastAsia="Arial"/>
          <w:b w:val="0"/>
          <w:i w:val="0"/>
          <w:color w:val="111111"/>
          <w:sz w:val="21"/>
        </w:rPr>
        <w:t>Concluiu que houve vantagem concreta em processamento, hashes, proveniência, classificação, formatos de saída e postura conservadora. A vantagem foi principalmente de governança e organização documental, não de reconciliação completa. Não foi possível estabelecer percentual de ganho sem execução-controle comparável.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Usuário: </w:t>
      </w:r>
      <w:r>
        <w:rPr>
          <w:rFonts w:ascii="Arial" w:hAnsi="Arial" w:eastAsia="Arial"/>
          <w:b w:val="0"/>
          <w:i w:val="0"/>
          <w:color w:val="111111"/>
          <w:sz w:val="21"/>
        </w:rPr>
        <w:t>Informou que faltam dois módulos e que a integração será feita amanhã.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Codex: </w:t>
      </w:r>
      <w:r>
        <w:rPr>
          <w:rFonts w:ascii="Arial" w:hAnsi="Arial" w:eastAsia="Arial"/>
          <w:b w:val="0"/>
          <w:i w:val="0"/>
          <w:color w:val="111111"/>
          <w:sz w:val="21"/>
        </w:rPr>
        <w:t>Registrou o estado atual: TCRIA processando e estruturando documentos; vantagem comprovada em rastreabilidade, classificação e governança; reconciliação cruzada ainda limitada; dois módulos pendentes. Indicou que os contratos de entrada, saída e posição no fluxo devem ser confirmados antes da integração.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Usuário: </w:t>
      </w:r>
      <w:r>
        <w:rPr>
          <w:rFonts w:ascii="Arial" w:hAnsi="Arial" w:eastAsia="Arial"/>
          <w:b w:val="0"/>
          <w:i w:val="0"/>
          <w:color w:val="111111"/>
          <w:sz w:val="21"/>
        </w:rPr>
        <w:t>Solicitou a criação de novo documento pelo recurso Documents, contendo todo o chat e usando o modelo Investment Committee Memo. Pediu que a primeira ação fosse perguntar o tema.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Codex: </w:t>
      </w:r>
      <w:r>
        <w:rPr>
          <w:rFonts w:ascii="Arial" w:hAnsi="Arial" w:eastAsia="Arial"/>
          <w:b w:val="0"/>
          <w:i w:val="0"/>
          <w:color w:val="111111"/>
          <w:sz w:val="21"/>
        </w:rPr>
        <w:t>Perguntou qual deveria ser o tema e o objetivo central do documento, sugerindo avaliação do TCRIA, investimento nos módulos ou aprovação da integração.</w:t>
      </w:r>
    </w:p>
    <w:p>
      <w:pPr>
        <w:keepNext w:val="0"/>
        <w:spacing w:before="80" w:after="140" w:line="259" w:lineRule="auto"/>
      </w:pPr>
      <w:r>
        <w:rPr>
          <w:rFonts w:ascii="Arial" w:hAnsi="Arial" w:eastAsia="Arial"/>
          <w:b/>
          <w:i w:val="0"/>
          <w:color w:val="111111"/>
          <w:sz w:val="21"/>
        </w:rPr>
        <w:t xml:space="preserve">Usuário — Annotation 1: </w:t>
      </w:r>
      <w:r>
        <w:rPr>
          <w:rFonts w:ascii="Arial" w:hAnsi="Arial" w:eastAsia="Arial"/>
          <w:b w:val="0"/>
          <w:i w:val="0"/>
          <w:color w:val="111111"/>
          <w:sz w:val="21"/>
        </w:rPr>
        <w:t>Selecionou “avaliação do TCRIA” como tema central.</w:t>
      </w:r>
    </w:p>
    <w:p>
      <w:pPr>
        <w:keepNext/>
        <w:spacing w:before="200" w:after="140"/>
      </w:pPr>
      <w:r>
        <w:rPr>
          <w:rFonts w:ascii="Arial" w:hAnsi="Arial" w:eastAsia="Arial"/>
          <w:b/>
          <w:i w:val="0"/>
          <w:color w:val="111111"/>
          <w:sz w:val="28"/>
        </w:rPr>
        <w:t>12.  Fontes e artefatos considerados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Conteúdo integral da conversa entre usuário e Codex nesta tarefa.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Cinco conjuntos documentais fictícios de março e abril de 2026.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Resultados oficiais do TCRIA em modo estrito, incluindo revisões de bloqueados.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Relatórios modulares JSON, Markdown e PDF das cinco áreas.</w:t>
      </w:r>
    </w:p>
    <w:p>
      <w:pPr>
        <w:numPr>
          <w:ilvl w:val="0"/>
          <w:numId w:val="2"/>
        </w:numPr>
        <w:spacing w:after="80" w:line="252" w:lineRule="auto"/>
      </w:pPr>
      <w:r>
        <w:rPr>
          <w:rFonts w:ascii="Arial" w:hAnsi="Arial" w:eastAsia="Arial"/>
          <w:b w:val="0"/>
          <w:i w:val="0"/>
          <w:color w:val="111111"/>
          <w:sz w:val="21"/>
        </w:rPr>
        <w:t>Parecer conclusivo de auditoria assistida por IA e avaliação da vantagem do processamento.</w:t>
      </w:r>
    </w:p>
    <w:p>
      <w:pPr>
        <w:keepNext w:val="0"/>
        <w:spacing w:before="200" w:after="120" w:line="259" w:lineRule="auto"/>
      </w:pPr>
      <w:r>
        <w:rPr>
          <w:rFonts w:ascii="Arial" w:hAnsi="Arial" w:eastAsia="Arial"/>
          <w:b w:val="0"/>
          <w:i/>
          <w:color w:val="666666"/>
          <w:sz w:val="18"/>
        </w:rPr>
        <w:t>Data-base do memorando: 17 de agosto de 2026.</w:t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648" w:footer="64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tbl>
    <w:tblPr>
      <w:tblW w:type="auto" w:w="0"/>
      <w:tblLayout w:type="fixed"/>
      <w:tblLook w:firstColumn="1" w:firstRow="1" w:lastColumn="0" w:lastRow="0" w:noHBand="0" w:noVBand="1" w:val="04A0"/>
    </w:tblPr>
    <w:tblGrid>
      <w:gridCol w:w="8208"/>
      <w:gridCol w:w="1152"/>
    </w:tblGrid>
    <w:tr>
      <w:tc>
        <w:tcPr>
          <w:tcW w:type="dxa" w:w="4680"/>
        </w:tcPr>
        <w:p>
          <w:r>
            <w:rPr>
              <w:rFonts w:ascii="Arial" w:hAnsi="Arial" w:eastAsia="Arial"/>
              <w:b w:val="0"/>
              <w:i w:val="0"/>
              <w:color w:val="A0A0A0"/>
              <w:sz w:val="17"/>
            </w:rPr>
            <w:t>Uso interno  ·  Avaliação técnica e documental do TCRIA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111111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>
    <w:pPr>
      <w:jc w:val="right"/>
    </w:pPr>
    <w:r>
      <w:rPr>
        <w:rFonts w:ascii="Arial" w:hAnsi="Arial" w:eastAsia="Arial"/>
        <w:b w:val="0"/>
        <w:i w:val="0"/>
        <w:color w:val="A0A0A0"/>
        <w:sz w:val="17"/>
      </w:rPr>
      <w:t>Memorando de Avaliação do TCRIA  ·  Agosto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2">
    <w:multiLevelType w:val="singleLevel"/>
    <w:lvl w:ilvl="0">
      <w:start w:val="1"/>
      <w:numFmt w:val="bullet"/>
      <w:lvlText w:val="•"/>
      <w:lvlJc w:val="left"/>
      <w:pPr>
        <w:tabs>
          <w:tab w:val="num" w:pos="520"/>
        </w:tabs>
        <w:ind w:left="520" w:hanging="260"/>
      </w:pPr>
      <w:rPr>
        <w:rFonts w:ascii="Arial" w:hAnsi="Arial"/>
      </w:rPr>
    </w:lvl>
  </w:abstractNum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