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32"/>
          <w:szCs w:val="32"/>
        </w:rPr>
        <w:t xml:space="preserve">NIST CSF-Aligned</w:t>
      </w:r>
    </w:p>
    <w:p>
      <w:pPr>
        <w:spacing w:after="400"/>
        <w:jc w:val="center"/>
      </w:pPr>
      <w:r>
        <w:rPr>
          <w:b/>
          <w:bCs/>
          <w:color w:val="1F3864"/>
          <w:sz w:val="44"/>
          <w:szCs w:val="44"/>
        </w:rPr>
        <w:t xml:space="preserve">Cybersecurity Risk Assessment &amp; Policy Framework</w:t>
      </w:r>
    </w:p>
    <w:p>
      <w:pPr>
        <w:spacing w:after="800"/>
        <w:jc w:val="center"/>
      </w:pPr>
      <w:r>
        <w:rPr>
          <w:i/>
          <w:iCs/>
          <w:sz w:val="22"/>
          <w:szCs w:val="22"/>
        </w:rPr>
        <w:t xml:space="preserve">Meridian Environmental Logistics (fictional entity, used for portfolio purposes)</w:t>
      </w:r>
    </w:p>
    <w:p>
      <w:pPr>
        <w:jc w:val="center"/>
      </w:pPr>
      <w:r>
        <w:rPr>
          <w:sz w:val="22"/>
          <w:szCs w:val="22"/>
        </w:rPr>
        <w:t xml:space="preserve">Prepared as a GRC portfolio project</w:t>
      </w:r>
    </w:p>
    <w:p>
      <w:pPr>
        <w:jc w:val="center"/>
      </w:pPr>
      <w:r>
        <w:rPr>
          <w:sz w:val="22"/>
          <w:szCs w:val="22"/>
        </w:rPr>
        <w:t xml:space="preserve">Author: Marcel Slowly</w:t>
      </w:r>
    </w:p>
    <w:p>
      <w:pPr>
        <w:jc w:val="center"/>
      </w:pPr>
      <w:r>
        <w:rPr>
          <w:sz w:val="22"/>
          <w:szCs w:val="22"/>
        </w:rPr>
        <w:t xml:space="preserve">Date: August 18, 2026   |   Version 1.0   |   Classification: Internal — Portfolio Sample</w:t>
      </w:r>
    </w:p>
    <w:p>
      <w:pPr>
        <w:spacing w:before="1200"/>
      </w:pPr>
    </w:p>
    <w:p>
      <w:pPr>
        <w:jc w:val="center"/>
      </w:pPr>
      <w:r>
        <w:rPr>
          <w:i/>
          <w:iCs/>
          <w:color w:val="595959"/>
          <w:sz w:val="18"/>
          <w:szCs w:val="18"/>
        </w:rPr>
        <w:t xml:space="preserve">This document uses a fictional company built to be representative of the logistics / environmental services sector. It demonstrates a full risk-assessment and policy-mapping methodology: asset inventory, risk register, and security policies mapped to the NIST Cybersecurity Framework (Identify, Protect, Detect, Respond, Recover).</w:t>
      </w:r>
    </w:p>
    <w:p>
      <w:r>
        <w:br w:type="page"/>
      </w:r>
    </w:p>
    <w:p>
      <w:pPr>
        <w:pStyle w:val="Heading1"/>
        <w:spacing w:after="200" w:before="4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Version</w:t>
            </w:r>
          </w:p>
        </w:tc>
        <w:tc>
          <w:tcPr>
            <w:tcW w:type="dxa" w:w="1600"/>
            <w:shd w:fill="1F3864" w:color="auto" w:val="clear"/>
            <w:tcMar>
              <w:top w:type="dxa" w:w="60"/>
              <w:left w:type="dxa" w:w="80"/>
              <w:bottom w:type="dxa" w:w="60"/>
              <w:right w:type="dxa" w:w="80"/>
            </w:tcMar>
            <w:vAlign w:val="center"/>
          </w:tcPr>
          <w:p>
            <w:pPr>
              <w:jc w:val="left"/>
            </w:pPr>
            <w:r>
              <w:rPr>
                <w:b/>
                <w:bCs/>
                <w:color w:val="FFFFFF"/>
                <w:sz w:val="18"/>
                <w:szCs w:val="18"/>
              </w:rPr>
              <w:t xml:space="preserve">Date</w:t>
            </w:r>
          </w:p>
        </w:tc>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Author</w:t>
            </w:r>
          </w:p>
        </w:tc>
        <w:tc>
          <w:tcPr>
            <w:tcW w:type="dxa" w:w="3760"/>
            <w:shd w:fill="1F3864" w:color="auto" w:val="clear"/>
            <w:tcMar>
              <w:top w:type="dxa" w:w="60"/>
              <w:left w:type="dxa" w:w="80"/>
              <w:bottom w:type="dxa" w:w="60"/>
              <w:right w:type="dxa" w:w="80"/>
            </w:tcMar>
            <w:vAlign w:val="center"/>
          </w:tcPr>
          <w:p>
            <w:pPr>
              <w:jc w:val="left"/>
            </w:pPr>
            <w:r>
              <w:rPr>
                <w:b/>
                <w:bCs/>
                <w:color w:val="FFFFFF"/>
                <w:sz w:val="18"/>
                <w:szCs w:val="18"/>
              </w:rPr>
              <w:t xml:space="preserve">Summary of Changes</w:t>
            </w:r>
          </w:p>
        </w:tc>
      </w:tr>
      <w:tr>
        <w:tc>
          <w:tcPr>
            <w:tcW w:type="dxa" w:w="2000"/>
            <w:tcMar>
              <w:top w:type="dxa" w:w="60"/>
              <w:left w:type="dxa" w:w="80"/>
              <w:bottom w:type="dxa" w:w="60"/>
              <w:right w:type="dxa" w:w="80"/>
            </w:tcMar>
            <w:vAlign w:val="center"/>
          </w:tcPr>
          <w:p>
            <w:pPr>
              <w:jc w:val="left"/>
            </w:pPr>
            <w:r>
              <w:rPr>
                <w:b w:val="false"/>
                <w:bCs w:val="false"/>
                <w:sz w:val="17"/>
                <w:szCs w:val="17"/>
              </w:rPr>
              <w:t xml:space="preserve">1.0</w:t>
            </w:r>
          </w:p>
        </w:tc>
        <w:tc>
          <w:tcPr>
            <w:tcW w:type="dxa" w:w="1600"/>
            <w:tcMar>
              <w:top w:type="dxa" w:w="60"/>
              <w:left w:type="dxa" w:w="80"/>
              <w:bottom w:type="dxa" w:w="60"/>
              <w:right w:type="dxa" w:w="80"/>
            </w:tcMar>
            <w:vAlign w:val="center"/>
          </w:tcPr>
          <w:p>
            <w:pPr>
              <w:jc w:val="left"/>
            </w:pPr>
            <w:r>
              <w:rPr>
                <w:b w:val="false"/>
                <w:bCs w:val="false"/>
                <w:sz w:val="17"/>
                <w:szCs w:val="17"/>
              </w:rPr>
              <w:t xml:space="preserve">2026-08-18</w:t>
            </w:r>
          </w:p>
        </w:tc>
        <w:tc>
          <w:tcPr>
            <w:tcW w:type="dxa" w:w="2000"/>
            <w:tcMar>
              <w:top w:type="dxa" w:w="60"/>
              <w:left w:type="dxa" w:w="80"/>
              <w:bottom w:type="dxa" w:w="60"/>
              <w:right w:type="dxa" w:w="80"/>
            </w:tcMar>
            <w:vAlign w:val="center"/>
          </w:tcPr>
          <w:p>
            <w:pPr>
              <w:jc w:val="left"/>
            </w:pPr>
            <w:r>
              <w:rPr>
                <w:b w:val="false"/>
                <w:bCs w:val="false"/>
                <w:sz w:val="17"/>
                <w:szCs w:val="17"/>
              </w:rPr>
              <w:t xml:space="preserve">Marcel Slowly</w:t>
            </w:r>
          </w:p>
        </w:tc>
        <w:tc>
          <w:tcPr>
            <w:tcW w:type="dxa" w:w="3760"/>
            <w:tcMar>
              <w:top w:type="dxa" w:w="60"/>
              <w:left w:type="dxa" w:w="80"/>
              <w:bottom w:type="dxa" w:w="60"/>
              <w:right w:type="dxa" w:w="80"/>
            </w:tcMar>
            <w:vAlign w:val="center"/>
          </w:tcPr>
          <w:p>
            <w:pPr>
              <w:jc w:val="left"/>
            </w:pPr>
            <w:r>
              <w:rPr>
                <w:b w:val="false"/>
                <w:bCs w:val="false"/>
                <w:sz w:val="17"/>
                <w:szCs w:val="17"/>
              </w:rPr>
              <w:t xml:space="preserve">Initial risk assessment and NIST CSF policy mapping</w:t>
            </w:r>
          </w:p>
        </w:tc>
      </w:tr>
    </w:tbl>
    <w:p>
      <w:pPr>
        <w:spacing w:after="300"/>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Executive Summary</w:t>
      </w:r>
    </w:p>
    <w:p>
      <w:pPr>
        <w:spacing w:after="120"/>
      </w:pPr>
      <w:r>
        <w:t xml:space="preserve">Meridian Environmental Logistics (Meridian) operates a fleet-based waste collection, transport, and recycling business across six regional depots, supported by cloud-hosted operational systems, a customer-facing billing portal, and IoT-enabled fleet telematics. This assessment identifies and prioritizes Meridian’s key cybersecurity risks, evaluates existing controls, and proposes a security policy framework aligned to the NIST Cybersecurity Framework (CSF).</w:t>
      </w:r>
    </w:p>
    <w:p>
      <w:pPr>
        <w:spacing w:after="120"/>
      </w:pPr>
      <w:r>
        <w:t xml:space="preserve">Twelve information assets were inventoried across cloud, on-premises, mobile, network, and physical categories. Ten risk scenarios were assessed using a 5x5 likelihood/impact model. Three risks were rated Critical or High at their inherent (pre-control) level: a phishing-delivered ransomware scenario against the ERP/finance system, business email compromise leading to fraudulent wire transfer, and compromise of the customer billing portal. Two risks are specific to Meridian’s regulatory context as an environmental services provider: falsified or tampered environmental compliance data, and a cloud misconfiguration exposing that same data.</w:t>
      </w:r>
    </w:p>
    <w:p>
      <w:pPr>
        <w:spacing w:after="120"/>
      </w:pPr>
      <w:r>
        <w:t xml:space="preserve">Existing controls meaningfully reduce residual risk in most cases, but consistent gaps recur across scenarios: incomplete network segmentation, no enforced mobile device management, inconsistent security-awareness training, and no dual-approval control on high-value financial transactions. Section 6 provides a prioritized, time-bound roadmap addressing these gaps, sequenced by residual risk and estimated implementation effort.</w:t>
      </w:r>
    </w:p>
    <w:p>
      <w:pPr>
        <w:spacing w:after="120"/>
      </w:pPr>
      <w:r>
        <w:t xml:space="preserve">This assessment should be treated as a living document, reviewed at minimum annually or after any material change to Meridian’s systems, vendors, or regulatory obligations.</w:t>
      </w:r>
    </w:p>
    <w:p>
      <w:r>
        <w:br w:type="page"/>
      </w:r>
    </w:p>
    <w:p>
      <w:pPr>
        <w:pStyle w:val="Heading1"/>
        <w:spacing w:after="200" w:before="400"/>
      </w:pPr>
      <w:r>
        <w:t xml:space="preserve">1. Introduction &amp; Scope</w:t>
      </w:r>
    </w:p>
    <w:p>
      <w:pPr>
        <w:pStyle w:val="Heading2"/>
        <w:spacing w:after="150" w:before="300"/>
      </w:pPr>
      <w:r>
        <w:t xml:space="preserve">1.1 Purpose</w:t>
      </w:r>
    </w:p>
    <w:p>
      <w:pPr>
        <w:spacing w:after="120"/>
      </w:pPr>
      <w:r>
        <w:t xml:space="preserve">This document establishes a repeatable risk assessment for Meridian’s information systems and maps recommended security controls to the NIST Cybersecurity Framework (CSF) functions: Identify, Protect, Detect, Respond, and Recover. It is intended to support prioritized security investment decisions and to serve as the baseline for Meridian’s security policy set.</w:t>
      </w:r>
    </w:p>
    <w:p>
      <w:pPr>
        <w:pStyle w:val="Heading2"/>
        <w:spacing w:after="150" w:before="300"/>
      </w:pPr>
      <w:r>
        <w:t xml:space="preserve">1.2 Scope</w:t>
      </w:r>
    </w:p>
    <w:p>
      <w:pPr>
        <w:spacing w:after="120"/>
      </w:pPr>
      <w:r>
        <w:t xml:space="preserve">In scope: all information systems, applications, and infrastructure that store, process, or transmit Meridian business data, customer data, employee data, or environmental compliance data, including cloud-hosted (SaaS/IaaS) systems, on-premises infrastructure at regional depots, fleet telematics and mobile applications, and third-party data exchanges directly integrated with Meridian systems.</w:t>
      </w:r>
    </w:p>
    <w:p>
      <w:pPr>
        <w:spacing w:after="120"/>
      </w:pPr>
      <w:r>
        <w:t xml:space="preserve">Out of scope: physical vehicle safety systems unrelated to data processing (e.g., mechanical braking systems), and the internal IT systems of third-party vendors themselves (only the data exchange interface with Meridian is assessed).</w:t>
      </w:r>
    </w:p>
    <w:p>
      <w:pPr>
        <w:pStyle w:val="Heading2"/>
        <w:spacing w:after="150" w:before="300"/>
      </w:pPr>
      <w:r>
        <w:t xml:space="preserve">1.3 Methodology</w:t>
      </w:r>
    </w:p>
    <w:p>
      <w:pPr>
        <w:spacing w:after="120"/>
      </w:pPr>
      <w:r>
        <w:t xml:space="preserve">Asset identification and classification follow a standard CIA-triad-based data classification model (Public, Internal, Confidential, Restricted). Risk scenarios were identified through a structured threat-and-vulnerability walkthrough of each in-scope asset, informed by common threat patterns for the logistics/transportation and environmental services sector (ransomware, business email compromise, IoT/OT exposure, and regulatory data-integrity risk). Each risk is scored using a 5x5 likelihood/impact matrix (Section 3), both at its inherent level (before existing controls) and residual level (after existing controls), to make the effect of current controls explicit rather than assumed.</w:t>
      </w:r>
    </w:p>
    <w:p>
      <w:pPr>
        <w:spacing w:after="120"/>
      </w:pPr>
      <w:r>
        <w:t xml:space="preserve">Recommended policies are mapped to specific NIST CSF Functions and Categories (Section 5) rather than presented as a generic checklist, so that each policy traces back to a specific identified risk.</w:t>
      </w:r>
    </w:p>
    <w:p>
      <w:r>
        <w:br w:type="page"/>
      </w:r>
    </w:p>
    <w:p>
      <w:pPr>
        <w:pStyle w:val="Heading1"/>
        <w:spacing w:after="200" w:before="400"/>
      </w:pPr>
      <w:r>
        <w:t xml:space="preserve">2. Asset Inventory</w:t>
      </w:r>
    </w:p>
    <w:p>
      <w:pPr>
        <w:spacing w:after="120"/>
      </w:pPr>
      <w:r>
        <w:t xml:space="preserve">Twelve information assets were identified as in-scope. Data classification follows: Public (no restriction), Internal (employees only), Confidential (restricted business data), Restricted (regulated/highly sensitive: PII, financial, compliance-reportable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1150"/>
        <w:gridCol w:w="2900"/>
        <w:gridCol w:w="1350"/>
        <w:gridCol w:w="1000"/>
        <w:gridCol w:w="910"/>
      </w:tblGrid>
      <w:tr>
        <w:trPr>
          <w:tblHeader/>
        </w:trPr>
        <w:tc>
          <w:tcPr>
            <w:tcW w:type="dxa" w:w="500"/>
            <w:shd w:fill="1F3864" w:color="auto" w:val="clear"/>
            <w:tcMar>
              <w:top w:type="dxa" w:w="60"/>
              <w:left w:type="dxa" w:w="80"/>
              <w:bottom w:type="dxa" w:w="60"/>
              <w:right w:type="dxa" w:w="80"/>
            </w:tcMar>
            <w:vAlign w:val="center"/>
          </w:tcPr>
          <w:p>
            <w:pPr>
              <w:jc w:val="left"/>
            </w:pPr>
            <w:r>
              <w:rPr>
                <w:b/>
                <w:bCs/>
                <w:color w:val="FFFFFF"/>
                <w:sz w:val="18"/>
                <w:szCs w:val="18"/>
              </w:rPr>
              <w:t xml:space="preserve">ID</w:t>
            </w:r>
          </w:p>
        </w:tc>
        <w:tc>
          <w:tcPr>
            <w:tcW w:type="dxa" w:w="1550"/>
            <w:shd w:fill="1F3864" w:color="auto" w:val="clear"/>
            <w:tcMar>
              <w:top w:type="dxa" w:w="60"/>
              <w:left w:type="dxa" w:w="80"/>
              <w:bottom w:type="dxa" w:w="60"/>
              <w:right w:type="dxa" w:w="80"/>
            </w:tcMar>
            <w:vAlign w:val="center"/>
          </w:tcPr>
          <w:p>
            <w:pPr>
              <w:jc w:val="left"/>
            </w:pPr>
            <w:r>
              <w:rPr>
                <w:b/>
                <w:bCs/>
                <w:color w:val="FFFFFF"/>
                <w:sz w:val="18"/>
                <w:szCs w:val="18"/>
              </w:rPr>
              <w:t xml:space="preserve">Asset</w:t>
            </w:r>
          </w:p>
        </w:tc>
        <w:tc>
          <w:tcPr>
            <w:tcW w:type="dxa" w:w="1150"/>
            <w:shd w:fill="1F3864" w:color="auto" w:val="clear"/>
            <w:tcMar>
              <w:top w:type="dxa" w:w="60"/>
              <w:left w:type="dxa" w:w="80"/>
              <w:bottom w:type="dxa" w:w="60"/>
              <w:right w:type="dxa" w:w="80"/>
            </w:tcMar>
            <w:vAlign w:val="center"/>
          </w:tcPr>
          <w:p>
            <w:pPr>
              <w:jc w:val="left"/>
            </w:pPr>
            <w:r>
              <w:rPr>
                <w:b/>
                <w:bCs/>
                <w:color w:val="FFFFFF"/>
                <w:sz w:val="18"/>
                <w:szCs w:val="18"/>
              </w:rPr>
              <w:t xml:space="preserve">Category</w:t>
            </w:r>
          </w:p>
        </w:tc>
        <w:tc>
          <w:tcPr>
            <w:tcW w:type="dxa" w:w="2900"/>
            <w:shd w:fill="1F3864" w:color="auto" w:val="clear"/>
            <w:tcMar>
              <w:top w:type="dxa" w:w="60"/>
              <w:left w:type="dxa" w:w="80"/>
              <w:bottom w:type="dxa" w:w="60"/>
              <w:right w:type="dxa" w:w="80"/>
            </w:tcMar>
            <w:vAlign w:val="center"/>
          </w:tcPr>
          <w:p>
            <w:pPr>
              <w:jc w:val="left"/>
            </w:pPr>
            <w:r>
              <w:rPr>
                <w:b/>
                <w:bCs/>
                <w:color w:val="FFFFFF"/>
                <w:sz w:val="18"/>
                <w:szCs w:val="18"/>
              </w:rPr>
              <w:t xml:space="preserve">Description</w:t>
            </w:r>
          </w:p>
        </w:tc>
        <w:tc>
          <w:tcPr>
            <w:tcW w:type="dxa" w:w="1350"/>
            <w:shd w:fill="1F3864" w:color="auto" w:val="clear"/>
            <w:tcMar>
              <w:top w:type="dxa" w:w="60"/>
              <w:left w:type="dxa" w:w="80"/>
              <w:bottom w:type="dxa" w:w="60"/>
              <w:right w:type="dxa" w:w="80"/>
            </w:tcMar>
            <w:vAlign w:val="center"/>
          </w:tcPr>
          <w:p>
            <w:pPr>
              <w:jc w:val="left"/>
            </w:pPr>
            <w:r>
              <w:rPr>
                <w:b/>
                <w:bCs/>
                <w:color w:val="FFFFFF"/>
                <w:sz w:val="18"/>
                <w:szCs w:val="18"/>
              </w:rPr>
              <w:t xml:space="preserve">Owner</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Class.</w:t>
            </w:r>
          </w:p>
        </w:tc>
        <w:tc>
          <w:tcPr>
            <w:tcW w:type="dxa" w:w="910"/>
            <w:shd w:fill="1F3864" w:color="auto" w:val="clear"/>
            <w:tcMar>
              <w:top w:type="dxa" w:w="60"/>
              <w:left w:type="dxa" w:w="80"/>
              <w:bottom w:type="dxa" w:w="60"/>
              <w:right w:type="dxa" w:w="80"/>
            </w:tcMar>
            <w:vAlign w:val="center"/>
          </w:tcPr>
          <w:p>
            <w:pPr>
              <w:jc w:val="left"/>
            </w:pPr>
            <w:r>
              <w:rPr>
                <w:b/>
                <w:bCs/>
                <w:color w:val="FFFFFF"/>
                <w:sz w:val="18"/>
                <w:szCs w:val="18"/>
              </w:rPr>
              <w:t xml:space="preserve">CIA Priority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A-01</w:t>
            </w:r>
          </w:p>
        </w:tc>
        <w:tc>
          <w:tcPr>
            <w:tcW w:type="dxa" w:w="1550"/>
            <w:tcMar>
              <w:top w:type="dxa" w:w="60"/>
              <w:left w:type="dxa" w:w="80"/>
              <w:bottom w:type="dxa" w:w="60"/>
              <w:right w:type="dxa" w:w="80"/>
            </w:tcMar>
            <w:vAlign w:val="center"/>
          </w:tcPr>
          <w:p>
            <w:pPr>
              <w:jc w:val="left"/>
            </w:pPr>
            <w:r>
              <w:rPr>
                <w:b w:val="false"/>
                <w:bCs w:val="false"/>
                <w:sz w:val="17"/>
                <w:szCs w:val="17"/>
              </w:rPr>
              <w:t xml:space="preserve">Fleet Telematics Platform</w:t>
            </w:r>
          </w:p>
        </w:tc>
        <w:tc>
          <w:tcPr>
            <w:tcW w:type="dxa" w:w="1150"/>
            <w:tcMar>
              <w:top w:type="dxa" w:w="60"/>
              <w:left w:type="dxa" w:w="80"/>
              <w:bottom w:type="dxa" w:w="60"/>
              <w:right w:type="dxa" w:w="80"/>
            </w:tcMar>
            <w:vAlign w:val="center"/>
          </w:tcPr>
          <w:p>
            <w:pPr>
              <w:jc w:val="left"/>
            </w:pPr>
            <w:r>
              <w:rPr>
                <w:b w:val="false"/>
                <w:bCs w:val="false"/>
                <w:sz w:val="17"/>
                <w:szCs w:val="17"/>
              </w:rPr>
              <w:t xml:space="preserve">Cloud/IoT</w:t>
            </w:r>
          </w:p>
        </w:tc>
        <w:tc>
          <w:tcPr>
            <w:tcW w:type="dxa" w:w="2900"/>
            <w:tcMar>
              <w:top w:type="dxa" w:w="60"/>
              <w:left w:type="dxa" w:w="80"/>
              <w:bottom w:type="dxa" w:w="60"/>
              <w:right w:type="dxa" w:w="80"/>
            </w:tcMar>
            <w:vAlign w:val="center"/>
          </w:tcPr>
          <w:p>
            <w:pPr>
              <w:jc w:val="left"/>
            </w:pPr>
            <w:r>
              <w:rPr>
                <w:b w:val="false"/>
                <w:bCs w:val="false"/>
                <w:sz w:val="17"/>
                <w:szCs w:val="17"/>
              </w:rPr>
              <w:t xml:space="preserve">GPS + engine diagnostics from ~340 collection vehicles; vendor-hosted, integrates with dispatch</w:t>
            </w:r>
          </w:p>
        </w:tc>
        <w:tc>
          <w:tcPr>
            <w:tcW w:type="dxa" w:w="1350"/>
            <w:tcMar>
              <w:top w:type="dxa" w:w="60"/>
              <w:left w:type="dxa" w:w="80"/>
              <w:bottom w:type="dxa" w:w="60"/>
              <w:right w:type="dxa" w:w="80"/>
            </w:tcMar>
            <w:vAlign w:val="center"/>
          </w:tcPr>
          <w:p>
            <w:pPr>
              <w:jc w:val="left"/>
            </w:pPr>
            <w:r>
              <w:rPr>
                <w:b w:val="false"/>
                <w:bCs w:val="false"/>
                <w:sz w:val="17"/>
                <w:szCs w:val="17"/>
              </w:rPr>
              <w:t xml:space="preserve">Fleet Operations Mgr</w:t>
            </w:r>
          </w:p>
        </w:tc>
        <w:tc>
          <w:tcPr>
            <w:tcW w:type="dxa" w:w="1000"/>
            <w:tcMar>
              <w:top w:type="dxa" w:w="60"/>
              <w:left w:type="dxa" w:w="80"/>
              <w:bottom w:type="dxa" w:w="60"/>
              <w:right w:type="dxa" w:w="80"/>
            </w:tcMar>
            <w:vAlign w:val="center"/>
          </w:tcPr>
          <w:p>
            <w:pPr>
              <w:jc w:val="left"/>
            </w:pPr>
            <w:r>
              <w:rPr>
                <w:b w:val="false"/>
                <w:bCs w:val="false"/>
                <w:sz w:val="17"/>
                <w:szCs w:val="17"/>
              </w:rPr>
              <w:t xml:space="preserve">Confidential</w:t>
            </w:r>
          </w:p>
        </w:tc>
        <w:tc>
          <w:tcPr>
            <w:tcW w:type="dxa" w:w="910"/>
            <w:tcMar>
              <w:top w:type="dxa" w:w="60"/>
              <w:left w:type="dxa" w:w="80"/>
              <w:bottom w:type="dxa" w:w="60"/>
              <w:right w:type="dxa" w:w="80"/>
            </w:tcMar>
            <w:vAlign w:val="center"/>
          </w:tcPr>
          <w:p>
            <w:pPr>
              <w:jc w:val="left"/>
            </w:pPr>
            <w:r>
              <w:rPr>
                <w:b w:val="false"/>
                <w:bCs w:val="false"/>
                <w:sz w:val="17"/>
                <w:szCs w:val="17"/>
              </w:rPr>
              <w:t xml:space="preserve">Integrity, Availability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A-02</w:t>
            </w:r>
          </w:p>
        </w:tc>
        <w:tc>
          <w:tcPr>
            <w:tcW w:type="dxa" w:w="1550"/>
            <w:tcMar>
              <w:top w:type="dxa" w:w="60"/>
              <w:left w:type="dxa" w:w="80"/>
              <w:bottom w:type="dxa" w:w="60"/>
              <w:right w:type="dxa" w:w="80"/>
            </w:tcMar>
            <w:vAlign w:val="center"/>
          </w:tcPr>
          <w:p>
            <w:pPr>
              <w:jc w:val="left"/>
            </w:pPr>
            <w:r>
              <w:rPr>
                <w:b w:val="false"/>
                <w:bCs w:val="false"/>
                <w:sz w:val="17"/>
                <w:szCs w:val="17"/>
              </w:rPr>
              <w:t xml:space="preserve">Dispatch &amp; Route Optimization System</w:t>
            </w:r>
          </w:p>
        </w:tc>
        <w:tc>
          <w:tcPr>
            <w:tcW w:type="dxa" w:w="1150"/>
            <w:tcMar>
              <w:top w:type="dxa" w:w="60"/>
              <w:left w:type="dxa" w:w="80"/>
              <w:bottom w:type="dxa" w:w="60"/>
              <w:right w:type="dxa" w:w="80"/>
            </w:tcMar>
            <w:vAlign w:val="center"/>
          </w:tcPr>
          <w:p>
            <w:pPr>
              <w:jc w:val="left"/>
            </w:pPr>
            <w:r>
              <w:rPr>
                <w:b w:val="false"/>
                <w:bCs w:val="false"/>
                <w:sz w:val="17"/>
                <w:szCs w:val="17"/>
              </w:rPr>
              <w:t xml:space="preserve">Software (SaaS)</w:t>
            </w:r>
          </w:p>
        </w:tc>
        <w:tc>
          <w:tcPr>
            <w:tcW w:type="dxa" w:w="2900"/>
            <w:tcMar>
              <w:top w:type="dxa" w:w="60"/>
              <w:left w:type="dxa" w:w="80"/>
              <w:bottom w:type="dxa" w:w="60"/>
              <w:right w:type="dxa" w:w="80"/>
            </w:tcMar>
            <w:vAlign w:val="center"/>
          </w:tcPr>
          <w:p>
            <w:pPr>
              <w:jc w:val="left"/>
            </w:pPr>
            <w:r>
              <w:rPr>
                <w:b w:val="false"/>
                <w:bCs w:val="false"/>
                <w:sz w:val="17"/>
                <w:szCs w:val="17"/>
              </w:rPr>
              <w:t xml:space="preserve">Daily route planning, real-time dispatch to drivers</w:t>
            </w:r>
          </w:p>
        </w:tc>
        <w:tc>
          <w:tcPr>
            <w:tcW w:type="dxa" w:w="1350"/>
            <w:tcMar>
              <w:top w:type="dxa" w:w="60"/>
              <w:left w:type="dxa" w:w="80"/>
              <w:bottom w:type="dxa" w:w="60"/>
              <w:right w:type="dxa" w:w="80"/>
            </w:tcMar>
            <w:vAlign w:val="center"/>
          </w:tcPr>
          <w:p>
            <w:pPr>
              <w:jc w:val="left"/>
            </w:pPr>
            <w:r>
              <w:rPr>
                <w:b w:val="false"/>
                <w:bCs w:val="false"/>
                <w:sz w:val="17"/>
                <w:szCs w:val="17"/>
              </w:rPr>
              <w:t xml:space="preserve">Operations Director</w:t>
            </w:r>
          </w:p>
        </w:tc>
        <w:tc>
          <w:tcPr>
            <w:tcW w:type="dxa" w:w="1000"/>
            <w:tcMar>
              <w:top w:type="dxa" w:w="60"/>
              <w:left w:type="dxa" w:w="80"/>
              <w:bottom w:type="dxa" w:w="60"/>
              <w:right w:type="dxa" w:w="80"/>
            </w:tcMar>
            <w:vAlign w:val="center"/>
          </w:tcPr>
          <w:p>
            <w:pPr>
              <w:jc w:val="left"/>
            </w:pPr>
            <w:r>
              <w:rPr>
                <w:b w:val="false"/>
                <w:bCs w:val="false"/>
                <w:sz w:val="17"/>
                <w:szCs w:val="17"/>
              </w:rPr>
              <w:t xml:space="preserve">Internal</w:t>
            </w:r>
          </w:p>
        </w:tc>
        <w:tc>
          <w:tcPr>
            <w:tcW w:type="dxa" w:w="910"/>
            <w:tcMar>
              <w:top w:type="dxa" w:w="60"/>
              <w:left w:type="dxa" w:w="80"/>
              <w:bottom w:type="dxa" w:w="60"/>
              <w:right w:type="dxa" w:w="80"/>
            </w:tcMar>
            <w:vAlign w:val="center"/>
          </w:tcPr>
          <w:p>
            <w:pPr>
              <w:jc w:val="left"/>
            </w:pPr>
            <w:r>
              <w:rPr>
                <w:b w:val="false"/>
                <w:bCs w:val="false"/>
                <w:sz w:val="17"/>
                <w:szCs w:val="17"/>
              </w:rPr>
              <w:t xml:space="preserve">Availability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A-03</w:t>
            </w:r>
          </w:p>
        </w:tc>
        <w:tc>
          <w:tcPr>
            <w:tcW w:type="dxa" w:w="1550"/>
            <w:tcMar>
              <w:top w:type="dxa" w:w="60"/>
              <w:left w:type="dxa" w:w="80"/>
              <w:bottom w:type="dxa" w:w="60"/>
              <w:right w:type="dxa" w:w="80"/>
            </w:tcMar>
            <w:vAlign w:val="center"/>
          </w:tcPr>
          <w:p>
            <w:pPr>
              <w:jc w:val="left"/>
            </w:pPr>
            <w:r>
              <w:rPr>
                <w:b w:val="false"/>
                <w:bCs w:val="false"/>
                <w:sz w:val="17"/>
                <w:szCs w:val="17"/>
              </w:rPr>
              <w:t xml:space="preserve">Customer Billing Portal</w:t>
            </w:r>
          </w:p>
        </w:tc>
        <w:tc>
          <w:tcPr>
            <w:tcW w:type="dxa" w:w="1150"/>
            <w:tcMar>
              <w:top w:type="dxa" w:w="60"/>
              <w:left w:type="dxa" w:w="80"/>
              <w:bottom w:type="dxa" w:w="60"/>
              <w:right w:type="dxa" w:w="80"/>
            </w:tcMar>
            <w:vAlign w:val="center"/>
          </w:tcPr>
          <w:p>
            <w:pPr>
              <w:jc w:val="left"/>
            </w:pPr>
            <w:r>
              <w:rPr>
                <w:b w:val="false"/>
                <w:bCs w:val="false"/>
                <w:sz w:val="17"/>
                <w:szCs w:val="17"/>
              </w:rPr>
              <w:t xml:space="preserve">Web Application</w:t>
            </w:r>
          </w:p>
        </w:tc>
        <w:tc>
          <w:tcPr>
            <w:tcW w:type="dxa" w:w="2900"/>
            <w:tcMar>
              <w:top w:type="dxa" w:w="60"/>
              <w:left w:type="dxa" w:w="80"/>
              <w:bottom w:type="dxa" w:w="60"/>
              <w:right w:type="dxa" w:w="80"/>
            </w:tcMar>
            <w:vAlign w:val="center"/>
          </w:tcPr>
          <w:p>
            <w:pPr>
              <w:jc w:val="left"/>
            </w:pPr>
            <w:r>
              <w:rPr>
                <w:b w:val="false"/>
                <w:bCs w:val="false"/>
                <w:sz w:val="17"/>
                <w:szCs w:val="17"/>
              </w:rPr>
              <w:t xml:space="preserve">Customer-facing invoicing, payment, and account management</w:t>
            </w:r>
          </w:p>
        </w:tc>
        <w:tc>
          <w:tcPr>
            <w:tcW w:type="dxa" w:w="1350"/>
            <w:tcMar>
              <w:top w:type="dxa" w:w="60"/>
              <w:left w:type="dxa" w:w="80"/>
              <w:bottom w:type="dxa" w:w="60"/>
              <w:right w:type="dxa" w:w="80"/>
            </w:tcMar>
            <w:vAlign w:val="center"/>
          </w:tcPr>
          <w:p>
            <w:pPr>
              <w:jc w:val="left"/>
            </w:pPr>
            <w:r>
              <w:rPr>
                <w:b w:val="false"/>
                <w:bCs w:val="false"/>
                <w:sz w:val="17"/>
                <w:szCs w:val="17"/>
              </w:rPr>
              <w:t xml:space="preserve">Finance Director</w:t>
            </w:r>
          </w:p>
        </w:tc>
        <w:tc>
          <w:tcPr>
            <w:tcW w:type="dxa" w:w="1000"/>
            <w:tcMar>
              <w:top w:type="dxa" w:w="60"/>
              <w:left w:type="dxa" w:w="80"/>
              <w:bottom w:type="dxa" w:w="60"/>
              <w:right w:type="dxa" w:w="80"/>
            </w:tcMar>
            <w:vAlign w:val="center"/>
          </w:tcPr>
          <w:p>
            <w:pPr>
              <w:jc w:val="left"/>
            </w:pPr>
            <w:r>
              <w:rPr>
                <w:b w:val="false"/>
                <w:bCs w:val="false"/>
                <w:sz w:val="17"/>
                <w:szCs w:val="17"/>
              </w:rPr>
              <w:t xml:space="preserve">Restricted</w:t>
            </w:r>
          </w:p>
        </w:tc>
        <w:tc>
          <w:tcPr>
            <w:tcW w:type="dxa" w:w="910"/>
            <w:tcMar>
              <w:top w:type="dxa" w:w="60"/>
              <w:left w:type="dxa" w:w="80"/>
              <w:bottom w:type="dxa" w:w="60"/>
              <w:right w:type="dxa" w:w="80"/>
            </w:tcMar>
            <w:vAlign w:val="center"/>
          </w:tcPr>
          <w:p>
            <w:pPr>
              <w:jc w:val="left"/>
            </w:pPr>
            <w:r>
              <w:rPr>
                <w:b w:val="false"/>
                <w:bCs w:val="false"/>
                <w:sz w:val="17"/>
                <w:szCs w:val="17"/>
              </w:rPr>
              <w:t xml:space="preserve">Confidentiality, Integrity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A-04</w:t>
            </w:r>
          </w:p>
        </w:tc>
        <w:tc>
          <w:tcPr>
            <w:tcW w:type="dxa" w:w="1550"/>
            <w:tcMar>
              <w:top w:type="dxa" w:w="60"/>
              <w:left w:type="dxa" w:w="80"/>
              <w:bottom w:type="dxa" w:w="60"/>
              <w:right w:type="dxa" w:w="80"/>
            </w:tcMar>
            <w:vAlign w:val="center"/>
          </w:tcPr>
          <w:p>
            <w:pPr>
              <w:jc w:val="left"/>
            </w:pPr>
            <w:r>
              <w:rPr>
                <w:b w:val="false"/>
                <w:bCs w:val="false"/>
                <w:sz w:val="17"/>
                <w:szCs w:val="17"/>
              </w:rPr>
              <w:t xml:space="preserve">Driver Mobile App</w:t>
            </w:r>
          </w:p>
        </w:tc>
        <w:tc>
          <w:tcPr>
            <w:tcW w:type="dxa" w:w="1150"/>
            <w:tcMar>
              <w:top w:type="dxa" w:w="60"/>
              <w:left w:type="dxa" w:w="80"/>
              <w:bottom w:type="dxa" w:w="60"/>
              <w:right w:type="dxa" w:w="80"/>
            </w:tcMar>
            <w:vAlign w:val="center"/>
          </w:tcPr>
          <w:p>
            <w:pPr>
              <w:jc w:val="left"/>
            </w:pPr>
            <w:r>
              <w:rPr>
                <w:b w:val="false"/>
                <w:bCs w:val="false"/>
                <w:sz w:val="17"/>
                <w:szCs w:val="17"/>
              </w:rPr>
              <w:t xml:space="preserve">Mobile Application</w:t>
            </w:r>
          </w:p>
        </w:tc>
        <w:tc>
          <w:tcPr>
            <w:tcW w:type="dxa" w:w="2900"/>
            <w:tcMar>
              <w:top w:type="dxa" w:w="60"/>
              <w:left w:type="dxa" w:w="80"/>
              <w:bottom w:type="dxa" w:w="60"/>
              <w:right w:type="dxa" w:w="80"/>
            </w:tcMar>
            <w:vAlign w:val="center"/>
          </w:tcPr>
          <w:p>
            <w:pPr>
              <w:jc w:val="left"/>
            </w:pPr>
            <w:r>
              <w:rPr>
                <w:b w:val="false"/>
                <w:bCs w:val="false"/>
                <w:sz w:val="17"/>
                <w:szCs w:val="17"/>
              </w:rPr>
              <w:t xml:space="preserve">Route confirmation, e-signatures, photo proof-of-service, cached login</w:t>
            </w:r>
          </w:p>
        </w:tc>
        <w:tc>
          <w:tcPr>
            <w:tcW w:type="dxa" w:w="1350"/>
            <w:tcMar>
              <w:top w:type="dxa" w:w="60"/>
              <w:left w:type="dxa" w:w="80"/>
              <w:bottom w:type="dxa" w:w="60"/>
              <w:right w:type="dxa" w:w="80"/>
            </w:tcMar>
            <w:vAlign w:val="center"/>
          </w:tcPr>
          <w:p>
            <w:pPr>
              <w:jc w:val="left"/>
            </w:pPr>
            <w:r>
              <w:rPr>
                <w:b w:val="false"/>
                <w:bCs w:val="false"/>
                <w:sz w:val="17"/>
                <w:szCs w:val="17"/>
              </w:rPr>
              <w:t xml:space="preserve">Fleet Operations Mgr</w:t>
            </w:r>
          </w:p>
        </w:tc>
        <w:tc>
          <w:tcPr>
            <w:tcW w:type="dxa" w:w="1000"/>
            <w:tcMar>
              <w:top w:type="dxa" w:w="60"/>
              <w:left w:type="dxa" w:w="80"/>
              <w:bottom w:type="dxa" w:w="60"/>
              <w:right w:type="dxa" w:w="80"/>
            </w:tcMar>
            <w:vAlign w:val="center"/>
          </w:tcPr>
          <w:p>
            <w:pPr>
              <w:jc w:val="left"/>
            </w:pPr>
            <w:r>
              <w:rPr>
                <w:b w:val="false"/>
                <w:bCs w:val="false"/>
                <w:sz w:val="17"/>
                <w:szCs w:val="17"/>
              </w:rPr>
              <w:t xml:space="preserve">Internal</w:t>
            </w:r>
          </w:p>
        </w:tc>
        <w:tc>
          <w:tcPr>
            <w:tcW w:type="dxa" w:w="910"/>
            <w:tcMar>
              <w:top w:type="dxa" w:w="60"/>
              <w:left w:type="dxa" w:w="80"/>
              <w:bottom w:type="dxa" w:w="60"/>
              <w:right w:type="dxa" w:w="80"/>
            </w:tcMar>
            <w:vAlign w:val="center"/>
          </w:tcPr>
          <w:p>
            <w:pPr>
              <w:jc w:val="left"/>
            </w:pPr>
            <w:r>
              <w:rPr>
                <w:b w:val="false"/>
                <w:bCs w:val="false"/>
                <w:sz w:val="17"/>
                <w:szCs w:val="17"/>
              </w:rPr>
              <w:t xml:space="preserve">Confidentiality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A-05</w:t>
            </w:r>
          </w:p>
        </w:tc>
        <w:tc>
          <w:tcPr>
            <w:tcW w:type="dxa" w:w="1550"/>
            <w:tcMar>
              <w:top w:type="dxa" w:w="60"/>
              <w:left w:type="dxa" w:w="80"/>
              <w:bottom w:type="dxa" w:w="60"/>
              <w:right w:type="dxa" w:w="80"/>
            </w:tcMar>
            <w:vAlign w:val="center"/>
          </w:tcPr>
          <w:p>
            <w:pPr>
              <w:jc w:val="left"/>
            </w:pPr>
            <w:r>
              <w:rPr>
                <w:b w:val="false"/>
                <w:bCs w:val="false"/>
                <w:sz w:val="17"/>
                <w:szCs w:val="17"/>
              </w:rPr>
              <w:t xml:space="preserve">ERP / Finance System</w:t>
            </w:r>
          </w:p>
        </w:tc>
        <w:tc>
          <w:tcPr>
            <w:tcW w:type="dxa" w:w="1150"/>
            <w:tcMar>
              <w:top w:type="dxa" w:w="60"/>
              <w:left w:type="dxa" w:w="80"/>
              <w:bottom w:type="dxa" w:w="60"/>
              <w:right w:type="dxa" w:w="80"/>
            </w:tcMar>
            <w:vAlign w:val="center"/>
          </w:tcPr>
          <w:p>
            <w:pPr>
              <w:jc w:val="left"/>
            </w:pPr>
            <w:r>
              <w:rPr>
                <w:b w:val="false"/>
                <w:bCs w:val="false"/>
                <w:sz w:val="17"/>
                <w:szCs w:val="17"/>
              </w:rPr>
              <w:t xml:space="preserve">Software (on-prem + cloud)</w:t>
            </w:r>
          </w:p>
        </w:tc>
        <w:tc>
          <w:tcPr>
            <w:tcW w:type="dxa" w:w="2900"/>
            <w:tcMar>
              <w:top w:type="dxa" w:w="60"/>
              <w:left w:type="dxa" w:w="80"/>
              <w:bottom w:type="dxa" w:w="60"/>
              <w:right w:type="dxa" w:w="80"/>
            </w:tcMar>
            <w:vAlign w:val="center"/>
          </w:tcPr>
          <w:p>
            <w:pPr>
              <w:jc w:val="left"/>
            </w:pPr>
            <w:r>
              <w:rPr>
                <w:b w:val="false"/>
                <w:bCs w:val="false"/>
                <w:sz w:val="17"/>
                <w:szCs w:val="17"/>
              </w:rPr>
              <w:t xml:space="preserve">General ledger, AP/AR, payroll integration, wire transfer approval</w:t>
            </w:r>
          </w:p>
        </w:tc>
        <w:tc>
          <w:tcPr>
            <w:tcW w:type="dxa" w:w="1350"/>
            <w:tcMar>
              <w:top w:type="dxa" w:w="60"/>
              <w:left w:type="dxa" w:w="80"/>
              <w:bottom w:type="dxa" w:w="60"/>
              <w:right w:type="dxa" w:w="80"/>
            </w:tcMar>
            <w:vAlign w:val="center"/>
          </w:tcPr>
          <w:p>
            <w:pPr>
              <w:jc w:val="left"/>
            </w:pPr>
            <w:r>
              <w:rPr>
                <w:b w:val="false"/>
                <w:bCs w:val="false"/>
                <w:sz w:val="17"/>
                <w:szCs w:val="17"/>
              </w:rPr>
              <w:t xml:space="preserve">CFO</w:t>
            </w:r>
          </w:p>
        </w:tc>
        <w:tc>
          <w:tcPr>
            <w:tcW w:type="dxa" w:w="1000"/>
            <w:tcMar>
              <w:top w:type="dxa" w:w="60"/>
              <w:left w:type="dxa" w:w="80"/>
              <w:bottom w:type="dxa" w:w="60"/>
              <w:right w:type="dxa" w:w="80"/>
            </w:tcMar>
            <w:vAlign w:val="center"/>
          </w:tcPr>
          <w:p>
            <w:pPr>
              <w:jc w:val="left"/>
            </w:pPr>
            <w:r>
              <w:rPr>
                <w:b w:val="false"/>
                <w:bCs w:val="false"/>
                <w:sz w:val="17"/>
                <w:szCs w:val="17"/>
              </w:rPr>
              <w:t xml:space="preserve">Restricted</w:t>
            </w:r>
          </w:p>
        </w:tc>
        <w:tc>
          <w:tcPr>
            <w:tcW w:type="dxa" w:w="910"/>
            <w:tcMar>
              <w:top w:type="dxa" w:w="60"/>
              <w:left w:type="dxa" w:w="80"/>
              <w:bottom w:type="dxa" w:w="60"/>
              <w:right w:type="dxa" w:w="80"/>
            </w:tcMar>
            <w:vAlign w:val="center"/>
          </w:tcPr>
          <w:p>
            <w:pPr>
              <w:jc w:val="left"/>
            </w:pPr>
            <w:r>
              <w:rPr>
                <w:b w:val="false"/>
                <w:bCs w:val="false"/>
                <w:sz w:val="17"/>
                <w:szCs w:val="17"/>
              </w:rPr>
              <w:t xml:space="preserve">Confidentiality, Integrity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A-06</w:t>
            </w:r>
          </w:p>
        </w:tc>
        <w:tc>
          <w:tcPr>
            <w:tcW w:type="dxa" w:w="1550"/>
            <w:tcMar>
              <w:top w:type="dxa" w:w="60"/>
              <w:left w:type="dxa" w:w="80"/>
              <w:bottom w:type="dxa" w:w="60"/>
              <w:right w:type="dxa" w:w="80"/>
            </w:tcMar>
            <w:vAlign w:val="center"/>
          </w:tcPr>
          <w:p>
            <w:pPr>
              <w:jc w:val="left"/>
            </w:pPr>
            <w:r>
              <w:rPr>
                <w:b w:val="false"/>
                <w:bCs w:val="false"/>
                <w:sz w:val="17"/>
                <w:szCs w:val="17"/>
              </w:rPr>
              <w:t xml:space="preserve">HR / Payroll System</w:t>
            </w:r>
          </w:p>
        </w:tc>
        <w:tc>
          <w:tcPr>
            <w:tcW w:type="dxa" w:w="1150"/>
            <w:tcMar>
              <w:top w:type="dxa" w:w="60"/>
              <w:left w:type="dxa" w:w="80"/>
              <w:bottom w:type="dxa" w:w="60"/>
              <w:right w:type="dxa" w:w="80"/>
            </w:tcMar>
            <w:vAlign w:val="center"/>
          </w:tcPr>
          <w:p>
            <w:pPr>
              <w:jc w:val="left"/>
            </w:pPr>
            <w:r>
              <w:rPr>
                <w:b w:val="false"/>
                <w:bCs w:val="false"/>
                <w:sz w:val="17"/>
                <w:szCs w:val="17"/>
              </w:rPr>
              <w:t xml:space="preserve">SaaS</w:t>
            </w:r>
          </w:p>
        </w:tc>
        <w:tc>
          <w:tcPr>
            <w:tcW w:type="dxa" w:w="2900"/>
            <w:tcMar>
              <w:top w:type="dxa" w:w="60"/>
              <w:left w:type="dxa" w:w="80"/>
              <w:bottom w:type="dxa" w:w="60"/>
              <w:right w:type="dxa" w:w="80"/>
            </w:tcMar>
            <w:vAlign w:val="center"/>
          </w:tcPr>
          <w:p>
            <w:pPr>
              <w:jc w:val="left"/>
            </w:pPr>
            <w:r>
              <w:rPr>
                <w:b w:val="false"/>
                <w:bCs w:val="false"/>
                <w:sz w:val="17"/>
                <w:szCs w:val="17"/>
              </w:rPr>
              <w:t xml:space="preserve">Employee PII, SIN/SSN, banking details, benefits</w:t>
            </w:r>
          </w:p>
        </w:tc>
        <w:tc>
          <w:tcPr>
            <w:tcW w:type="dxa" w:w="1350"/>
            <w:tcMar>
              <w:top w:type="dxa" w:w="60"/>
              <w:left w:type="dxa" w:w="80"/>
              <w:bottom w:type="dxa" w:w="60"/>
              <w:right w:type="dxa" w:w="80"/>
            </w:tcMar>
            <w:vAlign w:val="center"/>
          </w:tcPr>
          <w:p>
            <w:pPr>
              <w:jc w:val="left"/>
            </w:pPr>
            <w:r>
              <w:rPr>
                <w:b w:val="false"/>
                <w:bCs w:val="false"/>
                <w:sz w:val="17"/>
                <w:szCs w:val="17"/>
              </w:rPr>
              <w:t xml:space="preserve">HR Director</w:t>
            </w:r>
          </w:p>
        </w:tc>
        <w:tc>
          <w:tcPr>
            <w:tcW w:type="dxa" w:w="1000"/>
            <w:tcMar>
              <w:top w:type="dxa" w:w="60"/>
              <w:left w:type="dxa" w:w="80"/>
              <w:bottom w:type="dxa" w:w="60"/>
              <w:right w:type="dxa" w:w="80"/>
            </w:tcMar>
            <w:vAlign w:val="center"/>
          </w:tcPr>
          <w:p>
            <w:pPr>
              <w:jc w:val="left"/>
            </w:pPr>
            <w:r>
              <w:rPr>
                <w:b w:val="false"/>
                <w:bCs w:val="false"/>
                <w:sz w:val="17"/>
                <w:szCs w:val="17"/>
              </w:rPr>
              <w:t xml:space="preserve">Restricted</w:t>
            </w:r>
          </w:p>
        </w:tc>
        <w:tc>
          <w:tcPr>
            <w:tcW w:type="dxa" w:w="910"/>
            <w:tcMar>
              <w:top w:type="dxa" w:w="60"/>
              <w:left w:type="dxa" w:w="80"/>
              <w:bottom w:type="dxa" w:w="60"/>
              <w:right w:type="dxa" w:w="80"/>
            </w:tcMar>
            <w:vAlign w:val="center"/>
          </w:tcPr>
          <w:p>
            <w:pPr>
              <w:jc w:val="left"/>
            </w:pPr>
            <w:r>
              <w:rPr>
                <w:b w:val="false"/>
                <w:bCs w:val="false"/>
                <w:sz w:val="17"/>
                <w:szCs w:val="17"/>
              </w:rPr>
              <w:t xml:space="preserve">Confidentiality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A-07</w:t>
            </w:r>
          </w:p>
        </w:tc>
        <w:tc>
          <w:tcPr>
            <w:tcW w:type="dxa" w:w="1550"/>
            <w:tcMar>
              <w:top w:type="dxa" w:w="60"/>
              <w:left w:type="dxa" w:w="80"/>
              <w:bottom w:type="dxa" w:w="60"/>
              <w:right w:type="dxa" w:w="80"/>
            </w:tcMar>
            <w:vAlign w:val="center"/>
          </w:tcPr>
          <w:p>
            <w:pPr>
              <w:jc w:val="left"/>
            </w:pPr>
            <w:r>
              <w:rPr>
                <w:b w:val="false"/>
                <w:bCs w:val="false"/>
                <w:sz w:val="17"/>
                <w:szCs w:val="17"/>
              </w:rPr>
              <w:t xml:space="preserve">Corporate Email &amp; Collaboration (M365)</w:t>
            </w:r>
          </w:p>
        </w:tc>
        <w:tc>
          <w:tcPr>
            <w:tcW w:type="dxa" w:w="1150"/>
            <w:tcMar>
              <w:top w:type="dxa" w:w="60"/>
              <w:left w:type="dxa" w:w="80"/>
              <w:bottom w:type="dxa" w:w="60"/>
              <w:right w:type="dxa" w:w="80"/>
            </w:tcMar>
            <w:vAlign w:val="center"/>
          </w:tcPr>
          <w:p>
            <w:pPr>
              <w:jc w:val="left"/>
            </w:pPr>
            <w:r>
              <w:rPr>
                <w:b w:val="false"/>
                <w:bCs w:val="false"/>
                <w:sz w:val="17"/>
                <w:szCs w:val="17"/>
              </w:rPr>
              <w:t xml:space="preserve">SaaS</w:t>
            </w:r>
          </w:p>
        </w:tc>
        <w:tc>
          <w:tcPr>
            <w:tcW w:type="dxa" w:w="2900"/>
            <w:tcMar>
              <w:top w:type="dxa" w:w="60"/>
              <w:left w:type="dxa" w:w="80"/>
              <w:bottom w:type="dxa" w:w="60"/>
              <w:right w:type="dxa" w:w="80"/>
            </w:tcMar>
            <w:vAlign w:val="center"/>
          </w:tcPr>
          <w:p>
            <w:pPr>
              <w:jc w:val="left"/>
            </w:pPr>
            <w:r>
              <w:rPr>
                <w:b w:val="false"/>
                <w:bCs w:val="false"/>
                <w:sz w:val="17"/>
                <w:szCs w:val="17"/>
              </w:rPr>
              <w:t xml:space="preserve">Email, Teams, SharePoint document storage</w:t>
            </w:r>
          </w:p>
        </w:tc>
        <w:tc>
          <w:tcPr>
            <w:tcW w:type="dxa" w:w="1350"/>
            <w:tcMar>
              <w:top w:type="dxa" w:w="60"/>
              <w:left w:type="dxa" w:w="80"/>
              <w:bottom w:type="dxa" w:w="60"/>
              <w:right w:type="dxa" w:w="80"/>
            </w:tcMar>
            <w:vAlign w:val="center"/>
          </w:tcPr>
          <w:p>
            <w:pPr>
              <w:jc w:val="left"/>
            </w:pPr>
            <w:r>
              <w:rPr>
                <w:b w:val="false"/>
                <w:bCs w:val="false"/>
                <w:sz w:val="17"/>
                <w:szCs w:val="17"/>
              </w:rPr>
              <w:t xml:space="preserve">IT Manager</w:t>
            </w:r>
          </w:p>
        </w:tc>
        <w:tc>
          <w:tcPr>
            <w:tcW w:type="dxa" w:w="1000"/>
            <w:tcMar>
              <w:top w:type="dxa" w:w="60"/>
              <w:left w:type="dxa" w:w="80"/>
              <w:bottom w:type="dxa" w:w="60"/>
              <w:right w:type="dxa" w:w="80"/>
            </w:tcMar>
            <w:vAlign w:val="center"/>
          </w:tcPr>
          <w:p>
            <w:pPr>
              <w:jc w:val="left"/>
            </w:pPr>
            <w:r>
              <w:rPr>
                <w:b w:val="false"/>
                <w:bCs w:val="false"/>
                <w:sz w:val="17"/>
                <w:szCs w:val="17"/>
              </w:rPr>
              <w:t xml:space="preserve">Confidential</w:t>
            </w:r>
          </w:p>
        </w:tc>
        <w:tc>
          <w:tcPr>
            <w:tcW w:type="dxa" w:w="910"/>
            <w:tcMar>
              <w:top w:type="dxa" w:w="60"/>
              <w:left w:type="dxa" w:w="80"/>
              <w:bottom w:type="dxa" w:w="60"/>
              <w:right w:type="dxa" w:w="80"/>
            </w:tcMar>
            <w:vAlign w:val="center"/>
          </w:tcPr>
          <w:p>
            <w:pPr>
              <w:jc w:val="left"/>
            </w:pPr>
            <w:r>
              <w:rPr>
                <w:b w:val="false"/>
                <w:bCs w:val="false"/>
                <w:sz w:val="17"/>
                <w:szCs w:val="17"/>
              </w:rPr>
              <w:t xml:space="preserve">Confidentiality, Availability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A-08</w:t>
            </w:r>
          </w:p>
        </w:tc>
        <w:tc>
          <w:tcPr>
            <w:tcW w:type="dxa" w:w="1550"/>
            <w:tcMar>
              <w:top w:type="dxa" w:w="60"/>
              <w:left w:type="dxa" w:w="80"/>
              <w:bottom w:type="dxa" w:w="60"/>
              <w:right w:type="dxa" w:w="80"/>
            </w:tcMar>
            <w:vAlign w:val="center"/>
          </w:tcPr>
          <w:p>
            <w:pPr>
              <w:jc w:val="left"/>
            </w:pPr>
            <w:r>
              <w:rPr>
                <w:b w:val="false"/>
                <w:bCs w:val="false"/>
                <w:sz w:val="17"/>
                <w:szCs w:val="17"/>
              </w:rPr>
              <w:t xml:space="preserve">Depot Wi-Fi Networks (x6 regional depots)</w:t>
            </w:r>
          </w:p>
        </w:tc>
        <w:tc>
          <w:tcPr>
            <w:tcW w:type="dxa" w:w="1150"/>
            <w:tcMar>
              <w:top w:type="dxa" w:w="60"/>
              <w:left w:type="dxa" w:w="80"/>
              <w:bottom w:type="dxa" w:w="60"/>
              <w:right w:type="dxa" w:w="80"/>
            </w:tcMar>
            <w:vAlign w:val="center"/>
          </w:tcPr>
          <w:p>
            <w:pPr>
              <w:jc w:val="left"/>
            </w:pPr>
            <w:r>
              <w:rPr>
                <w:b w:val="false"/>
                <w:bCs w:val="false"/>
                <w:sz w:val="17"/>
                <w:szCs w:val="17"/>
              </w:rPr>
              <w:t xml:space="preserve">Network Infrastructure</w:t>
            </w:r>
          </w:p>
        </w:tc>
        <w:tc>
          <w:tcPr>
            <w:tcW w:type="dxa" w:w="2900"/>
            <w:tcMar>
              <w:top w:type="dxa" w:w="60"/>
              <w:left w:type="dxa" w:w="80"/>
              <w:bottom w:type="dxa" w:w="60"/>
              <w:right w:type="dxa" w:w="80"/>
            </w:tcMar>
            <w:vAlign w:val="center"/>
          </w:tcPr>
          <w:p>
            <w:pPr>
              <w:jc w:val="left"/>
            </w:pPr>
            <w:r>
              <w:rPr>
                <w:b w:val="false"/>
                <w:bCs w:val="false"/>
                <w:sz w:val="17"/>
                <w:szCs w:val="17"/>
              </w:rPr>
              <w:t xml:space="preserve">Staff and guest wireless at each regional depot</w:t>
            </w:r>
          </w:p>
        </w:tc>
        <w:tc>
          <w:tcPr>
            <w:tcW w:type="dxa" w:w="1350"/>
            <w:tcMar>
              <w:top w:type="dxa" w:w="60"/>
              <w:left w:type="dxa" w:w="80"/>
              <w:bottom w:type="dxa" w:w="60"/>
              <w:right w:type="dxa" w:w="80"/>
            </w:tcMar>
            <w:vAlign w:val="center"/>
          </w:tcPr>
          <w:p>
            <w:pPr>
              <w:jc w:val="left"/>
            </w:pPr>
            <w:r>
              <w:rPr>
                <w:b w:val="false"/>
                <w:bCs w:val="false"/>
                <w:sz w:val="17"/>
                <w:szCs w:val="17"/>
              </w:rPr>
              <w:t xml:space="preserve">IT Manager</w:t>
            </w:r>
          </w:p>
        </w:tc>
        <w:tc>
          <w:tcPr>
            <w:tcW w:type="dxa" w:w="1000"/>
            <w:tcMar>
              <w:top w:type="dxa" w:w="60"/>
              <w:left w:type="dxa" w:w="80"/>
              <w:bottom w:type="dxa" w:w="60"/>
              <w:right w:type="dxa" w:w="80"/>
            </w:tcMar>
            <w:vAlign w:val="center"/>
          </w:tcPr>
          <w:p>
            <w:pPr>
              <w:jc w:val="left"/>
            </w:pPr>
            <w:r>
              <w:rPr>
                <w:b w:val="false"/>
                <w:bCs w:val="false"/>
                <w:sz w:val="17"/>
                <w:szCs w:val="17"/>
              </w:rPr>
              <w:t xml:space="preserve">Internal</w:t>
            </w:r>
          </w:p>
        </w:tc>
        <w:tc>
          <w:tcPr>
            <w:tcW w:type="dxa" w:w="910"/>
            <w:tcMar>
              <w:top w:type="dxa" w:w="60"/>
              <w:left w:type="dxa" w:w="80"/>
              <w:bottom w:type="dxa" w:w="60"/>
              <w:right w:type="dxa" w:w="80"/>
            </w:tcMar>
            <w:vAlign w:val="center"/>
          </w:tcPr>
          <w:p>
            <w:pPr>
              <w:jc w:val="left"/>
            </w:pPr>
            <w:r>
              <w:rPr>
                <w:b w:val="false"/>
                <w:bCs w:val="false"/>
                <w:sz w:val="17"/>
                <w:szCs w:val="17"/>
              </w:rPr>
              <w:t xml:space="preserve">Availability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A-09</w:t>
            </w:r>
          </w:p>
        </w:tc>
        <w:tc>
          <w:tcPr>
            <w:tcW w:type="dxa" w:w="1550"/>
            <w:tcMar>
              <w:top w:type="dxa" w:w="60"/>
              <w:left w:type="dxa" w:w="80"/>
              <w:bottom w:type="dxa" w:w="60"/>
              <w:right w:type="dxa" w:w="80"/>
            </w:tcMar>
            <w:vAlign w:val="center"/>
          </w:tcPr>
          <w:p>
            <w:pPr>
              <w:jc w:val="left"/>
            </w:pPr>
            <w:r>
              <w:rPr>
                <w:b w:val="false"/>
                <w:bCs w:val="false"/>
                <w:sz w:val="17"/>
                <w:szCs w:val="17"/>
              </w:rPr>
              <w:t xml:space="preserve">Environmental Compliance Data Warehouse</w:t>
            </w:r>
          </w:p>
        </w:tc>
        <w:tc>
          <w:tcPr>
            <w:tcW w:type="dxa" w:w="1150"/>
            <w:tcMar>
              <w:top w:type="dxa" w:w="60"/>
              <w:left w:type="dxa" w:w="80"/>
              <w:bottom w:type="dxa" w:w="60"/>
              <w:right w:type="dxa" w:w="80"/>
            </w:tcMar>
            <w:vAlign w:val="center"/>
          </w:tcPr>
          <w:p>
            <w:pPr>
              <w:jc w:val="left"/>
            </w:pPr>
            <w:r>
              <w:rPr>
                <w:b w:val="false"/>
                <w:bCs w:val="false"/>
                <w:sz w:val="17"/>
                <w:szCs w:val="17"/>
              </w:rPr>
              <w:t xml:space="preserve">Cloud Data Platform</w:t>
            </w:r>
          </w:p>
        </w:tc>
        <w:tc>
          <w:tcPr>
            <w:tcW w:type="dxa" w:w="2900"/>
            <w:tcMar>
              <w:top w:type="dxa" w:w="60"/>
              <w:left w:type="dxa" w:w="80"/>
              <w:bottom w:type="dxa" w:w="60"/>
              <w:right w:type="dxa" w:w="80"/>
            </w:tcMar>
            <w:vAlign w:val="center"/>
          </w:tcPr>
          <w:p>
            <w:pPr>
              <w:jc w:val="left"/>
            </w:pPr>
            <w:r>
              <w:rPr>
                <w:b w:val="false"/>
                <w:bCs w:val="false"/>
                <w:sz w:val="17"/>
                <w:szCs w:val="17"/>
              </w:rPr>
              <w:t xml:space="preserve">Waste volume, disposal method, and emissions data submitted to regulators</w:t>
            </w:r>
          </w:p>
        </w:tc>
        <w:tc>
          <w:tcPr>
            <w:tcW w:type="dxa" w:w="1350"/>
            <w:tcMar>
              <w:top w:type="dxa" w:w="60"/>
              <w:left w:type="dxa" w:w="80"/>
              <w:bottom w:type="dxa" w:w="60"/>
              <w:right w:type="dxa" w:w="80"/>
            </w:tcMar>
            <w:vAlign w:val="center"/>
          </w:tcPr>
          <w:p>
            <w:pPr>
              <w:jc w:val="left"/>
            </w:pPr>
            <w:r>
              <w:rPr>
                <w:b w:val="false"/>
                <w:bCs w:val="false"/>
                <w:sz w:val="17"/>
                <w:szCs w:val="17"/>
              </w:rPr>
              <w:t xml:space="preserve">Compliance Officer</w:t>
            </w:r>
          </w:p>
        </w:tc>
        <w:tc>
          <w:tcPr>
            <w:tcW w:type="dxa" w:w="1000"/>
            <w:tcMar>
              <w:top w:type="dxa" w:w="60"/>
              <w:left w:type="dxa" w:w="80"/>
              <w:bottom w:type="dxa" w:w="60"/>
              <w:right w:type="dxa" w:w="80"/>
            </w:tcMar>
            <w:vAlign w:val="center"/>
          </w:tcPr>
          <w:p>
            <w:pPr>
              <w:jc w:val="left"/>
            </w:pPr>
            <w:r>
              <w:rPr>
                <w:b w:val="false"/>
                <w:bCs w:val="false"/>
                <w:sz w:val="17"/>
                <w:szCs w:val="17"/>
              </w:rPr>
              <w:t xml:space="preserve">Restricted</w:t>
            </w:r>
          </w:p>
        </w:tc>
        <w:tc>
          <w:tcPr>
            <w:tcW w:type="dxa" w:w="910"/>
            <w:tcMar>
              <w:top w:type="dxa" w:w="60"/>
              <w:left w:type="dxa" w:w="80"/>
              <w:bottom w:type="dxa" w:w="60"/>
              <w:right w:type="dxa" w:w="80"/>
            </w:tcMar>
            <w:vAlign w:val="center"/>
          </w:tcPr>
          <w:p>
            <w:pPr>
              <w:jc w:val="left"/>
            </w:pPr>
            <w:r>
              <w:rPr>
                <w:b w:val="false"/>
                <w:bCs w:val="false"/>
                <w:sz w:val="17"/>
                <w:szCs w:val="17"/>
              </w:rPr>
              <w:t xml:space="preserve">Integrity, Availability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A-10</w:t>
            </w:r>
          </w:p>
        </w:tc>
        <w:tc>
          <w:tcPr>
            <w:tcW w:type="dxa" w:w="1550"/>
            <w:tcMar>
              <w:top w:type="dxa" w:w="60"/>
              <w:left w:type="dxa" w:w="80"/>
              <w:bottom w:type="dxa" w:w="60"/>
              <w:right w:type="dxa" w:w="80"/>
            </w:tcMar>
            <w:vAlign w:val="center"/>
          </w:tcPr>
          <w:p>
            <w:pPr>
              <w:jc w:val="left"/>
            </w:pPr>
            <w:r>
              <w:rPr>
                <w:b w:val="false"/>
                <w:bCs w:val="false"/>
                <w:sz w:val="17"/>
                <w:szCs w:val="17"/>
              </w:rPr>
              <w:t xml:space="preserve">Third-Party Disposal Facility Data Exchange</w:t>
            </w:r>
          </w:p>
        </w:tc>
        <w:tc>
          <w:tcPr>
            <w:tcW w:type="dxa" w:w="1150"/>
            <w:tcMar>
              <w:top w:type="dxa" w:w="60"/>
              <w:left w:type="dxa" w:w="80"/>
              <w:bottom w:type="dxa" w:w="60"/>
              <w:right w:type="dxa" w:w="80"/>
            </w:tcMar>
            <w:vAlign w:val="center"/>
          </w:tcPr>
          <w:p>
            <w:pPr>
              <w:jc w:val="left"/>
            </w:pPr>
            <w:r>
              <w:rPr>
                <w:b w:val="false"/>
                <w:bCs w:val="false"/>
                <w:sz w:val="17"/>
                <w:szCs w:val="17"/>
              </w:rPr>
              <w:t xml:space="preserve">B2B Integration</w:t>
            </w:r>
          </w:p>
        </w:tc>
        <w:tc>
          <w:tcPr>
            <w:tcW w:type="dxa" w:w="2900"/>
            <w:tcMar>
              <w:top w:type="dxa" w:w="60"/>
              <w:left w:type="dxa" w:w="80"/>
              <w:bottom w:type="dxa" w:w="60"/>
              <w:right w:type="dxa" w:w="80"/>
            </w:tcMar>
            <w:vAlign w:val="center"/>
          </w:tcPr>
          <w:p>
            <w:pPr>
              <w:jc w:val="left"/>
            </w:pPr>
            <w:r>
              <w:rPr>
                <w:b w:val="false"/>
                <w:bCs w:val="false"/>
                <w:sz w:val="17"/>
                <w:szCs w:val="17"/>
              </w:rPr>
              <w:t xml:space="preserve">Automated data exchange (manifests, weights) with partner disposal/recycling facilities</w:t>
            </w:r>
          </w:p>
        </w:tc>
        <w:tc>
          <w:tcPr>
            <w:tcW w:type="dxa" w:w="1350"/>
            <w:tcMar>
              <w:top w:type="dxa" w:w="60"/>
              <w:left w:type="dxa" w:w="80"/>
              <w:bottom w:type="dxa" w:w="60"/>
              <w:right w:type="dxa" w:w="80"/>
            </w:tcMar>
            <w:vAlign w:val="center"/>
          </w:tcPr>
          <w:p>
            <w:pPr>
              <w:jc w:val="left"/>
            </w:pPr>
            <w:r>
              <w:rPr>
                <w:b w:val="false"/>
                <w:bCs w:val="false"/>
                <w:sz w:val="17"/>
                <w:szCs w:val="17"/>
              </w:rPr>
              <w:t xml:space="preserve">Compliance Officer</w:t>
            </w:r>
          </w:p>
        </w:tc>
        <w:tc>
          <w:tcPr>
            <w:tcW w:type="dxa" w:w="1000"/>
            <w:tcMar>
              <w:top w:type="dxa" w:w="60"/>
              <w:left w:type="dxa" w:w="80"/>
              <w:bottom w:type="dxa" w:w="60"/>
              <w:right w:type="dxa" w:w="80"/>
            </w:tcMar>
            <w:vAlign w:val="center"/>
          </w:tcPr>
          <w:p>
            <w:pPr>
              <w:jc w:val="left"/>
            </w:pPr>
            <w:r>
              <w:rPr>
                <w:b w:val="false"/>
                <w:bCs w:val="false"/>
                <w:sz w:val="17"/>
                <w:szCs w:val="17"/>
              </w:rPr>
              <w:t xml:space="preserve">Confidential</w:t>
            </w:r>
          </w:p>
        </w:tc>
        <w:tc>
          <w:tcPr>
            <w:tcW w:type="dxa" w:w="910"/>
            <w:tcMar>
              <w:top w:type="dxa" w:w="60"/>
              <w:left w:type="dxa" w:w="80"/>
              <w:bottom w:type="dxa" w:w="60"/>
              <w:right w:type="dxa" w:w="80"/>
            </w:tcMar>
            <w:vAlign w:val="center"/>
          </w:tcPr>
          <w:p>
            <w:pPr>
              <w:jc w:val="left"/>
            </w:pPr>
            <w:r>
              <w:rPr>
                <w:b w:val="false"/>
                <w:bCs w:val="false"/>
                <w:sz w:val="17"/>
                <w:szCs w:val="17"/>
              </w:rPr>
              <w:t xml:space="preserve">Integrity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A-11</w:t>
            </w:r>
          </w:p>
        </w:tc>
        <w:tc>
          <w:tcPr>
            <w:tcW w:type="dxa" w:w="1550"/>
            <w:tcMar>
              <w:top w:type="dxa" w:w="60"/>
              <w:left w:type="dxa" w:w="80"/>
              <w:bottom w:type="dxa" w:w="60"/>
              <w:right w:type="dxa" w:w="80"/>
            </w:tcMar>
            <w:vAlign w:val="center"/>
          </w:tcPr>
          <w:p>
            <w:pPr>
              <w:jc w:val="left"/>
            </w:pPr>
            <w:r>
              <w:rPr>
                <w:b w:val="false"/>
                <w:bCs w:val="false"/>
                <w:sz w:val="17"/>
                <w:szCs w:val="17"/>
              </w:rPr>
              <w:t xml:space="preserve">On-Prem File Servers (regional depots)</w:t>
            </w:r>
          </w:p>
        </w:tc>
        <w:tc>
          <w:tcPr>
            <w:tcW w:type="dxa" w:w="1150"/>
            <w:tcMar>
              <w:top w:type="dxa" w:w="60"/>
              <w:left w:type="dxa" w:w="80"/>
              <w:bottom w:type="dxa" w:w="60"/>
              <w:right w:type="dxa" w:w="80"/>
            </w:tcMar>
            <w:vAlign w:val="center"/>
          </w:tcPr>
          <w:p>
            <w:pPr>
              <w:jc w:val="left"/>
            </w:pPr>
            <w:r>
              <w:rPr>
                <w:b w:val="false"/>
                <w:bCs w:val="false"/>
                <w:sz w:val="17"/>
                <w:szCs w:val="17"/>
              </w:rPr>
              <w:t xml:space="preserve">Hardware/Storage</w:t>
            </w:r>
          </w:p>
        </w:tc>
        <w:tc>
          <w:tcPr>
            <w:tcW w:type="dxa" w:w="2900"/>
            <w:tcMar>
              <w:top w:type="dxa" w:w="60"/>
              <w:left w:type="dxa" w:w="80"/>
              <w:bottom w:type="dxa" w:w="60"/>
              <w:right w:type="dxa" w:w="80"/>
            </w:tcMar>
            <w:vAlign w:val="center"/>
          </w:tcPr>
          <w:p>
            <w:pPr>
              <w:jc w:val="left"/>
            </w:pPr>
            <w:r>
              <w:rPr>
                <w:b w:val="false"/>
                <w:bCs w:val="false"/>
                <w:sz w:val="17"/>
                <w:szCs w:val="17"/>
              </w:rPr>
              <w:t xml:space="preserve">Local operational documents, maintenance logs, legacy scheduling files</w:t>
            </w:r>
          </w:p>
        </w:tc>
        <w:tc>
          <w:tcPr>
            <w:tcW w:type="dxa" w:w="1350"/>
            <w:tcMar>
              <w:top w:type="dxa" w:w="60"/>
              <w:left w:type="dxa" w:w="80"/>
              <w:bottom w:type="dxa" w:w="60"/>
              <w:right w:type="dxa" w:w="80"/>
            </w:tcMar>
            <w:vAlign w:val="center"/>
          </w:tcPr>
          <w:p>
            <w:pPr>
              <w:jc w:val="left"/>
            </w:pPr>
            <w:r>
              <w:rPr>
                <w:b w:val="false"/>
                <w:bCs w:val="false"/>
                <w:sz w:val="17"/>
                <w:szCs w:val="17"/>
              </w:rPr>
              <w:t xml:space="preserve">IT Manager</w:t>
            </w:r>
          </w:p>
        </w:tc>
        <w:tc>
          <w:tcPr>
            <w:tcW w:type="dxa" w:w="1000"/>
            <w:tcMar>
              <w:top w:type="dxa" w:w="60"/>
              <w:left w:type="dxa" w:w="80"/>
              <w:bottom w:type="dxa" w:w="60"/>
              <w:right w:type="dxa" w:w="80"/>
            </w:tcMar>
            <w:vAlign w:val="center"/>
          </w:tcPr>
          <w:p>
            <w:pPr>
              <w:jc w:val="left"/>
            </w:pPr>
            <w:r>
              <w:rPr>
                <w:b w:val="false"/>
                <w:bCs w:val="false"/>
                <w:sz w:val="17"/>
                <w:szCs w:val="17"/>
              </w:rPr>
              <w:t xml:space="preserve">Internal</w:t>
            </w:r>
          </w:p>
        </w:tc>
        <w:tc>
          <w:tcPr>
            <w:tcW w:type="dxa" w:w="910"/>
            <w:tcMar>
              <w:top w:type="dxa" w:w="60"/>
              <w:left w:type="dxa" w:w="80"/>
              <w:bottom w:type="dxa" w:w="60"/>
              <w:right w:type="dxa" w:w="80"/>
            </w:tcMar>
            <w:vAlign w:val="center"/>
          </w:tcPr>
          <w:p>
            <w:pPr>
              <w:jc w:val="left"/>
            </w:pPr>
            <w:r>
              <w:rPr>
                <w:b w:val="false"/>
                <w:bCs w:val="false"/>
                <w:sz w:val="17"/>
                <w:szCs w:val="17"/>
              </w:rPr>
              <w:t xml:space="preserve">Availability</w:t>
            </w:r>
          </w:p>
        </w:tc>
      </w:tr>
      <w:tr>
        <w:tc>
          <w:tcPr>
            <w:tcW w:type="dxa" w:w="500"/>
            <w:tcMar>
              <w:top w:type="dxa" w:w="60"/>
              <w:left w:type="dxa" w:w="80"/>
              <w:bottom w:type="dxa" w:w="60"/>
              <w:right w:type="dxa" w:w="80"/>
            </w:tcMar>
            <w:vAlign w:val="center"/>
          </w:tcPr>
          <w:p>
            <w:pPr>
              <w:jc w:val="left"/>
            </w:pPr>
            <w:r>
              <w:rPr>
                <w:b w:val="false"/>
                <w:bCs w:val="false"/>
                <w:sz w:val="17"/>
                <w:szCs w:val="17"/>
              </w:rPr>
              <w:t xml:space="preserve">A-12</w:t>
            </w:r>
          </w:p>
        </w:tc>
        <w:tc>
          <w:tcPr>
            <w:tcW w:type="dxa" w:w="1550"/>
            <w:tcMar>
              <w:top w:type="dxa" w:w="60"/>
              <w:left w:type="dxa" w:w="80"/>
              <w:bottom w:type="dxa" w:w="60"/>
              <w:right w:type="dxa" w:w="80"/>
            </w:tcMar>
            <w:vAlign w:val="center"/>
          </w:tcPr>
          <w:p>
            <w:pPr>
              <w:jc w:val="left"/>
            </w:pPr>
            <w:r>
              <w:rPr>
                <w:b w:val="false"/>
                <w:bCs w:val="false"/>
                <w:sz w:val="17"/>
                <w:szCs w:val="17"/>
              </w:rPr>
              <w:t xml:space="preserve">Depot CCTV &amp; Access Control</w:t>
            </w:r>
          </w:p>
        </w:tc>
        <w:tc>
          <w:tcPr>
            <w:tcW w:type="dxa" w:w="1150"/>
            <w:tcMar>
              <w:top w:type="dxa" w:w="60"/>
              <w:left w:type="dxa" w:w="80"/>
              <w:bottom w:type="dxa" w:w="60"/>
              <w:right w:type="dxa" w:w="80"/>
            </w:tcMar>
            <w:vAlign w:val="center"/>
          </w:tcPr>
          <w:p>
            <w:pPr>
              <w:jc w:val="left"/>
            </w:pPr>
            <w:r>
              <w:rPr>
                <w:b w:val="false"/>
                <w:bCs w:val="false"/>
                <w:sz w:val="17"/>
                <w:szCs w:val="17"/>
              </w:rPr>
              <w:t xml:space="preserve">Physical Security System</w:t>
            </w:r>
          </w:p>
        </w:tc>
        <w:tc>
          <w:tcPr>
            <w:tcW w:type="dxa" w:w="2900"/>
            <w:tcMar>
              <w:top w:type="dxa" w:w="60"/>
              <w:left w:type="dxa" w:w="80"/>
              <w:bottom w:type="dxa" w:w="60"/>
              <w:right w:type="dxa" w:w="80"/>
            </w:tcMar>
            <w:vAlign w:val="center"/>
          </w:tcPr>
          <w:p>
            <w:pPr>
              <w:jc w:val="left"/>
            </w:pPr>
            <w:r>
              <w:rPr>
                <w:b w:val="false"/>
                <w:bCs w:val="false"/>
                <w:sz w:val="17"/>
                <w:szCs w:val="17"/>
              </w:rPr>
              <w:t xml:space="preserve">Badge access and camera systems at depots and processing facility</w:t>
            </w:r>
          </w:p>
        </w:tc>
        <w:tc>
          <w:tcPr>
            <w:tcW w:type="dxa" w:w="1350"/>
            <w:tcMar>
              <w:top w:type="dxa" w:w="60"/>
              <w:left w:type="dxa" w:w="80"/>
              <w:bottom w:type="dxa" w:w="60"/>
              <w:right w:type="dxa" w:w="80"/>
            </w:tcMar>
            <w:vAlign w:val="center"/>
          </w:tcPr>
          <w:p>
            <w:pPr>
              <w:jc w:val="left"/>
            </w:pPr>
            <w:r>
              <w:rPr>
                <w:b w:val="false"/>
                <w:bCs w:val="false"/>
                <w:sz w:val="17"/>
                <w:szCs w:val="17"/>
              </w:rPr>
              <w:t xml:space="preserve">Facilities Manager</w:t>
            </w:r>
          </w:p>
        </w:tc>
        <w:tc>
          <w:tcPr>
            <w:tcW w:type="dxa" w:w="1000"/>
            <w:tcMar>
              <w:top w:type="dxa" w:w="60"/>
              <w:left w:type="dxa" w:w="80"/>
              <w:bottom w:type="dxa" w:w="60"/>
              <w:right w:type="dxa" w:w="80"/>
            </w:tcMar>
            <w:vAlign w:val="center"/>
          </w:tcPr>
          <w:p>
            <w:pPr>
              <w:jc w:val="left"/>
            </w:pPr>
            <w:r>
              <w:rPr>
                <w:b w:val="false"/>
                <w:bCs w:val="false"/>
                <w:sz w:val="17"/>
                <w:szCs w:val="17"/>
              </w:rPr>
              <w:t xml:space="preserve">Internal</w:t>
            </w:r>
          </w:p>
        </w:tc>
        <w:tc>
          <w:tcPr>
            <w:tcW w:type="dxa" w:w="910"/>
            <w:tcMar>
              <w:top w:type="dxa" w:w="60"/>
              <w:left w:type="dxa" w:w="80"/>
              <w:bottom w:type="dxa" w:w="60"/>
              <w:right w:type="dxa" w:w="80"/>
            </w:tcMar>
            <w:vAlign w:val="center"/>
          </w:tcPr>
          <w:p>
            <w:pPr>
              <w:jc w:val="left"/>
            </w:pPr>
            <w:r>
              <w:rPr>
                <w:b w:val="false"/>
                <w:bCs w:val="false"/>
                <w:sz w:val="17"/>
                <w:szCs w:val="17"/>
              </w:rPr>
              <w:t xml:space="preserve">Availability, Integrity</w:t>
            </w:r>
          </w:p>
        </w:tc>
      </w:tr>
    </w:tbl>
    <w:p>
      <w:r>
        <w:br w:type="page"/>
      </w:r>
    </w:p>
    <w:p>
      <w:pPr>
        <w:pStyle w:val="Heading1"/>
        <w:spacing w:after="200" w:before="400"/>
      </w:pPr>
      <w:r>
        <w:t xml:space="preserve">3. Risk Assessment Methodology</w:t>
      </w:r>
    </w:p>
    <w:p>
      <w:pPr>
        <w:pStyle w:val="Heading2"/>
        <w:spacing w:after="150" w:before="300"/>
      </w:pPr>
      <w:r>
        <w:t xml:space="preserve">3.1 Likelihood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7000"/>
      </w:tblGrid>
      <w:tr>
        <w:trPr>
          <w:tblHeader/>
        </w:trPr>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Score</w:t>
            </w:r>
          </w:p>
        </w:tc>
        <w:tc>
          <w:tcPr>
            <w:tcW w:type="dxa" w:w="1660"/>
            <w:shd w:fill="1F3864" w:color="auto" w:val="clear"/>
            <w:tcMar>
              <w:top w:type="dxa" w:w="60"/>
              <w:left w:type="dxa" w:w="80"/>
              <w:bottom w:type="dxa" w:w="60"/>
              <w:right w:type="dxa" w:w="80"/>
            </w:tcMar>
            <w:vAlign w:val="center"/>
          </w:tcPr>
          <w:p>
            <w:pPr>
              <w:jc w:val="left"/>
            </w:pPr>
            <w:r>
              <w:rPr>
                <w:b/>
                <w:bCs/>
                <w:color w:val="FFFFFF"/>
                <w:sz w:val="18"/>
                <w:szCs w:val="18"/>
              </w:rPr>
              <w:t xml:space="preserve">Rating</w:t>
            </w:r>
          </w:p>
        </w:tc>
        <w:tc>
          <w:tcPr>
            <w:tcW w:type="dxa" w:w="7000"/>
            <w:shd w:fill="1F3864" w:color="auto" w:val="clear"/>
            <w:tcMar>
              <w:top w:type="dxa" w:w="60"/>
              <w:left w:type="dxa" w:w="80"/>
              <w:bottom w:type="dxa" w:w="60"/>
              <w:right w:type="dxa" w:w="80"/>
            </w:tcMar>
            <w:vAlign w:val="center"/>
          </w:tcPr>
          <w:p>
            <w:pPr>
              <w:jc w:val="left"/>
            </w:pPr>
            <w:r>
              <w:rPr>
                <w:b/>
                <w:bCs/>
                <w:color w:val="FFFFFF"/>
                <w:sz w:val="18"/>
                <w:szCs w:val="18"/>
              </w:rPr>
              <w:t xml:space="preserve">Description</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1</w:t>
            </w:r>
          </w:p>
        </w:tc>
        <w:tc>
          <w:tcPr>
            <w:tcW w:type="dxa" w:w="1660"/>
            <w:tcMar>
              <w:top w:type="dxa" w:w="60"/>
              <w:left w:type="dxa" w:w="80"/>
              <w:bottom w:type="dxa" w:w="60"/>
              <w:right w:type="dxa" w:w="80"/>
            </w:tcMar>
            <w:vAlign w:val="center"/>
          </w:tcPr>
          <w:p>
            <w:pPr>
              <w:jc w:val="left"/>
            </w:pPr>
            <w:r>
              <w:rPr>
                <w:b w:val="false"/>
                <w:bCs w:val="false"/>
                <w:sz w:val="17"/>
                <w:szCs w:val="17"/>
              </w:rPr>
              <w:t xml:space="preserve">Rare</w:t>
            </w:r>
          </w:p>
        </w:tc>
        <w:tc>
          <w:tcPr>
            <w:tcW w:type="dxa" w:w="7000"/>
            <w:tcMar>
              <w:top w:type="dxa" w:w="60"/>
              <w:left w:type="dxa" w:w="80"/>
              <w:bottom w:type="dxa" w:w="60"/>
              <w:right w:type="dxa" w:w="80"/>
            </w:tcMar>
            <w:vAlign w:val="center"/>
          </w:tcPr>
          <w:p>
            <w:pPr>
              <w:jc w:val="left"/>
            </w:pPr>
            <w:r>
              <w:rPr>
                <w:b w:val="false"/>
                <w:bCs w:val="false"/>
                <w:sz w:val="17"/>
                <w:szCs w:val="17"/>
              </w:rPr>
              <w:t xml:space="preserve">Would only occur in exceptional circumstances; no known precedent in this sector</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2</w:t>
            </w:r>
          </w:p>
        </w:tc>
        <w:tc>
          <w:tcPr>
            <w:tcW w:type="dxa" w:w="1660"/>
            <w:tcMar>
              <w:top w:type="dxa" w:w="60"/>
              <w:left w:type="dxa" w:w="80"/>
              <w:bottom w:type="dxa" w:w="60"/>
              <w:right w:type="dxa" w:w="80"/>
            </w:tcMar>
            <w:vAlign w:val="center"/>
          </w:tcPr>
          <w:p>
            <w:pPr>
              <w:jc w:val="left"/>
            </w:pPr>
            <w:r>
              <w:rPr>
                <w:b w:val="false"/>
                <w:bCs w:val="false"/>
                <w:sz w:val="17"/>
                <w:szCs w:val="17"/>
              </w:rPr>
              <w:t xml:space="preserve">Unlikely</w:t>
            </w:r>
          </w:p>
        </w:tc>
        <w:tc>
          <w:tcPr>
            <w:tcW w:type="dxa" w:w="7000"/>
            <w:tcMar>
              <w:top w:type="dxa" w:w="60"/>
              <w:left w:type="dxa" w:w="80"/>
              <w:bottom w:type="dxa" w:w="60"/>
              <w:right w:type="dxa" w:w="80"/>
            </w:tcMar>
            <w:vAlign w:val="center"/>
          </w:tcPr>
          <w:p>
            <w:pPr>
              <w:jc w:val="left"/>
            </w:pPr>
            <w:r>
              <w:rPr>
                <w:b w:val="false"/>
                <w:bCs w:val="false"/>
                <w:sz w:val="17"/>
                <w:szCs w:val="17"/>
              </w:rPr>
              <w:t xml:space="preserve">Could occur at some point; not expected under normal conditions</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3</w:t>
            </w:r>
          </w:p>
        </w:tc>
        <w:tc>
          <w:tcPr>
            <w:tcW w:type="dxa" w:w="1660"/>
            <w:tcMar>
              <w:top w:type="dxa" w:w="60"/>
              <w:left w:type="dxa" w:w="80"/>
              <w:bottom w:type="dxa" w:w="60"/>
              <w:right w:type="dxa" w:w="80"/>
            </w:tcMar>
            <w:vAlign w:val="center"/>
          </w:tcPr>
          <w:p>
            <w:pPr>
              <w:jc w:val="left"/>
            </w:pPr>
            <w:r>
              <w:rPr>
                <w:b w:val="false"/>
                <w:bCs w:val="false"/>
                <w:sz w:val="17"/>
                <w:szCs w:val="17"/>
              </w:rPr>
              <w:t xml:space="preserve">Possible</w:t>
            </w:r>
          </w:p>
        </w:tc>
        <w:tc>
          <w:tcPr>
            <w:tcW w:type="dxa" w:w="7000"/>
            <w:tcMar>
              <w:top w:type="dxa" w:w="60"/>
              <w:left w:type="dxa" w:w="80"/>
              <w:bottom w:type="dxa" w:w="60"/>
              <w:right w:type="dxa" w:w="80"/>
            </w:tcMar>
            <w:vAlign w:val="center"/>
          </w:tcPr>
          <w:p>
            <w:pPr>
              <w:jc w:val="left"/>
            </w:pPr>
            <w:r>
              <w:rPr>
                <w:b w:val="false"/>
                <w:bCs w:val="false"/>
                <w:sz w:val="17"/>
                <w:szCs w:val="17"/>
              </w:rPr>
              <w:t xml:space="preserve">Might occur; has happened at comparable organizations in this sector</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4</w:t>
            </w:r>
          </w:p>
        </w:tc>
        <w:tc>
          <w:tcPr>
            <w:tcW w:type="dxa" w:w="1660"/>
            <w:tcMar>
              <w:top w:type="dxa" w:w="60"/>
              <w:left w:type="dxa" w:w="80"/>
              <w:bottom w:type="dxa" w:w="60"/>
              <w:right w:type="dxa" w:w="80"/>
            </w:tcMar>
            <w:vAlign w:val="center"/>
          </w:tcPr>
          <w:p>
            <w:pPr>
              <w:jc w:val="left"/>
            </w:pPr>
            <w:r>
              <w:rPr>
                <w:b w:val="false"/>
                <w:bCs w:val="false"/>
                <w:sz w:val="17"/>
                <w:szCs w:val="17"/>
              </w:rPr>
              <w:t xml:space="preserve">Likely</w:t>
            </w:r>
          </w:p>
        </w:tc>
        <w:tc>
          <w:tcPr>
            <w:tcW w:type="dxa" w:w="7000"/>
            <w:tcMar>
              <w:top w:type="dxa" w:w="60"/>
              <w:left w:type="dxa" w:w="80"/>
              <w:bottom w:type="dxa" w:w="60"/>
              <w:right w:type="dxa" w:w="80"/>
            </w:tcMar>
            <w:vAlign w:val="center"/>
          </w:tcPr>
          <w:p>
            <w:pPr>
              <w:jc w:val="left"/>
            </w:pPr>
            <w:r>
              <w:rPr>
                <w:b w:val="false"/>
                <w:bCs w:val="false"/>
                <w:sz w:val="17"/>
                <w:szCs w:val="17"/>
              </w:rPr>
              <w:t xml:space="preserve">Will probably occur; has happened to Meridian or close peers before</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5</w:t>
            </w:r>
          </w:p>
        </w:tc>
        <w:tc>
          <w:tcPr>
            <w:tcW w:type="dxa" w:w="1660"/>
            <w:tcMar>
              <w:top w:type="dxa" w:w="60"/>
              <w:left w:type="dxa" w:w="80"/>
              <w:bottom w:type="dxa" w:w="60"/>
              <w:right w:type="dxa" w:w="80"/>
            </w:tcMar>
            <w:vAlign w:val="center"/>
          </w:tcPr>
          <w:p>
            <w:pPr>
              <w:jc w:val="left"/>
            </w:pPr>
            <w:r>
              <w:rPr>
                <w:b w:val="false"/>
                <w:bCs w:val="false"/>
                <w:sz w:val="17"/>
                <w:szCs w:val="17"/>
              </w:rPr>
              <w:t xml:space="preserve">Almost Certain</w:t>
            </w:r>
          </w:p>
        </w:tc>
        <w:tc>
          <w:tcPr>
            <w:tcW w:type="dxa" w:w="7000"/>
            <w:tcMar>
              <w:top w:type="dxa" w:w="60"/>
              <w:left w:type="dxa" w:w="80"/>
              <w:bottom w:type="dxa" w:w="60"/>
              <w:right w:type="dxa" w:w="80"/>
            </w:tcMar>
            <w:vAlign w:val="center"/>
          </w:tcPr>
          <w:p>
            <w:pPr>
              <w:jc w:val="left"/>
            </w:pPr>
            <w:r>
              <w:rPr>
                <w:b w:val="false"/>
                <w:bCs w:val="false"/>
                <w:sz w:val="17"/>
                <w:szCs w:val="17"/>
              </w:rPr>
              <w:t xml:space="preserve">Expected to occur, potentially multiple times per year, absent intervention</w:t>
            </w:r>
          </w:p>
        </w:tc>
      </w:tr>
    </w:tbl>
    <w:p>
      <w:pPr>
        <w:spacing w:after="200"/>
      </w:pPr>
    </w:p>
    <w:p>
      <w:pPr>
        <w:pStyle w:val="Heading2"/>
        <w:spacing w:after="150" w:before="300"/>
      </w:pPr>
      <w:r>
        <w:t xml:space="preserve">3.2 Impact Scale</w:t>
      </w:r>
    </w:p>
    <w:p>
      <w:pPr>
        <w:spacing w:after="120"/>
      </w:pPr>
      <w:r>
        <w:t xml:space="preserve">Impact considers financial, operational, regulatory/compliance, and reputational dimensions together, since Meridian’s environmental-services licensing makes regulatory impact especially consequential.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7000"/>
      </w:tblGrid>
      <w:tr>
        <w:trPr>
          <w:tblHeader/>
        </w:trPr>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Score</w:t>
            </w:r>
          </w:p>
        </w:tc>
        <w:tc>
          <w:tcPr>
            <w:tcW w:type="dxa" w:w="1660"/>
            <w:shd w:fill="1F3864" w:color="auto" w:val="clear"/>
            <w:tcMar>
              <w:top w:type="dxa" w:w="60"/>
              <w:left w:type="dxa" w:w="80"/>
              <w:bottom w:type="dxa" w:w="60"/>
              <w:right w:type="dxa" w:w="80"/>
            </w:tcMar>
            <w:vAlign w:val="center"/>
          </w:tcPr>
          <w:p>
            <w:pPr>
              <w:jc w:val="left"/>
            </w:pPr>
            <w:r>
              <w:rPr>
                <w:b/>
                <w:bCs/>
                <w:color w:val="FFFFFF"/>
                <w:sz w:val="18"/>
                <w:szCs w:val="18"/>
              </w:rPr>
              <w:t xml:space="preserve">Rating</w:t>
            </w:r>
          </w:p>
        </w:tc>
        <w:tc>
          <w:tcPr>
            <w:tcW w:type="dxa" w:w="7000"/>
            <w:shd w:fill="1F3864" w:color="auto" w:val="clear"/>
            <w:tcMar>
              <w:top w:type="dxa" w:w="60"/>
              <w:left w:type="dxa" w:w="80"/>
              <w:bottom w:type="dxa" w:w="60"/>
              <w:right w:type="dxa" w:w="80"/>
            </w:tcMar>
            <w:vAlign w:val="center"/>
          </w:tcPr>
          <w:p>
            <w:pPr>
              <w:jc w:val="left"/>
            </w:pPr>
            <w:r>
              <w:rPr>
                <w:b/>
                <w:bCs/>
                <w:color w:val="FFFFFF"/>
                <w:sz w:val="18"/>
                <w:szCs w:val="18"/>
              </w:rPr>
              <w:t xml:space="preserve">Description</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1</w:t>
            </w:r>
          </w:p>
        </w:tc>
        <w:tc>
          <w:tcPr>
            <w:tcW w:type="dxa" w:w="1660"/>
            <w:tcMar>
              <w:top w:type="dxa" w:w="60"/>
              <w:left w:type="dxa" w:w="80"/>
              <w:bottom w:type="dxa" w:w="60"/>
              <w:right w:type="dxa" w:w="80"/>
            </w:tcMar>
            <w:vAlign w:val="center"/>
          </w:tcPr>
          <w:p>
            <w:pPr>
              <w:jc w:val="left"/>
            </w:pPr>
            <w:r>
              <w:rPr>
                <w:b w:val="false"/>
                <w:bCs w:val="false"/>
                <w:sz w:val="17"/>
                <w:szCs w:val="17"/>
              </w:rPr>
              <w:t xml:space="preserve">Negligible</w:t>
            </w:r>
          </w:p>
        </w:tc>
        <w:tc>
          <w:tcPr>
            <w:tcW w:type="dxa" w:w="7000"/>
            <w:tcMar>
              <w:top w:type="dxa" w:w="60"/>
              <w:left w:type="dxa" w:w="80"/>
              <w:bottom w:type="dxa" w:w="60"/>
              <w:right w:type="dxa" w:w="80"/>
            </w:tcMar>
            <w:vAlign w:val="center"/>
          </w:tcPr>
          <w:p>
            <w:pPr>
              <w:jc w:val="left"/>
            </w:pPr>
            <w:r>
              <w:rPr>
                <w:b w:val="false"/>
                <w:bCs w:val="false"/>
                <w:sz w:val="17"/>
                <w:szCs w:val="17"/>
              </w:rPr>
              <w:t xml:space="preserve">No material financial loss; no operational disruption; no regulatory exposure</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2</w:t>
            </w:r>
          </w:p>
        </w:tc>
        <w:tc>
          <w:tcPr>
            <w:tcW w:type="dxa" w:w="1660"/>
            <w:tcMar>
              <w:top w:type="dxa" w:w="60"/>
              <w:left w:type="dxa" w:w="80"/>
              <w:bottom w:type="dxa" w:w="60"/>
              <w:right w:type="dxa" w:w="80"/>
            </w:tcMar>
            <w:vAlign w:val="center"/>
          </w:tcPr>
          <w:p>
            <w:pPr>
              <w:jc w:val="left"/>
            </w:pPr>
            <w:r>
              <w:rPr>
                <w:b w:val="false"/>
                <w:bCs w:val="false"/>
                <w:sz w:val="17"/>
                <w:szCs w:val="17"/>
              </w:rPr>
              <w:t xml:space="preserve">Minor</w:t>
            </w:r>
          </w:p>
        </w:tc>
        <w:tc>
          <w:tcPr>
            <w:tcW w:type="dxa" w:w="7000"/>
            <w:tcMar>
              <w:top w:type="dxa" w:w="60"/>
              <w:left w:type="dxa" w:w="80"/>
              <w:bottom w:type="dxa" w:w="60"/>
              <w:right w:type="dxa" w:w="80"/>
            </w:tcMar>
            <w:vAlign w:val="center"/>
          </w:tcPr>
          <w:p>
            <w:pPr>
              <w:jc w:val="left"/>
            </w:pPr>
            <w:r>
              <w:rPr>
                <w:b w:val="false"/>
                <w:bCs w:val="false"/>
                <w:sz w:val="17"/>
                <w:szCs w:val="17"/>
              </w:rPr>
              <w:t xml:space="preserve">Limited financial loss (&lt;$25K); brief single-depot disruption; no regulatory reporting trigger</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3</w:t>
            </w:r>
          </w:p>
        </w:tc>
        <w:tc>
          <w:tcPr>
            <w:tcW w:type="dxa" w:w="1660"/>
            <w:tcMar>
              <w:top w:type="dxa" w:w="60"/>
              <w:left w:type="dxa" w:w="80"/>
              <w:bottom w:type="dxa" w:w="60"/>
              <w:right w:type="dxa" w:w="80"/>
            </w:tcMar>
            <w:vAlign w:val="center"/>
          </w:tcPr>
          <w:p>
            <w:pPr>
              <w:jc w:val="left"/>
            </w:pPr>
            <w:r>
              <w:rPr>
                <w:b w:val="false"/>
                <w:bCs w:val="false"/>
                <w:sz w:val="17"/>
                <w:szCs w:val="17"/>
              </w:rPr>
              <w:t xml:space="preserve">Moderate</w:t>
            </w:r>
          </w:p>
        </w:tc>
        <w:tc>
          <w:tcPr>
            <w:tcW w:type="dxa" w:w="7000"/>
            <w:tcMar>
              <w:top w:type="dxa" w:w="60"/>
              <w:left w:type="dxa" w:w="80"/>
              <w:bottom w:type="dxa" w:w="60"/>
              <w:right w:type="dxa" w:w="80"/>
            </w:tcMar>
            <w:vAlign w:val="center"/>
          </w:tcPr>
          <w:p>
            <w:pPr>
              <w:jc w:val="left"/>
            </w:pPr>
            <w:r>
              <w:rPr>
                <w:b w:val="false"/>
                <w:bCs w:val="false"/>
                <w:sz w:val="17"/>
                <w:szCs w:val="17"/>
              </w:rPr>
              <w:t xml:space="preserve">Moderate financial loss ($25K–$250K); multi-depot or multi-day disruption; internal compliance review triggered</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4</w:t>
            </w:r>
          </w:p>
        </w:tc>
        <w:tc>
          <w:tcPr>
            <w:tcW w:type="dxa" w:w="1660"/>
            <w:tcMar>
              <w:top w:type="dxa" w:w="60"/>
              <w:left w:type="dxa" w:w="80"/>
              <w:bottom w:type="dxa" w:w="60"/>
              <w:right w:type="dxa" w:w="80"/>
            </w:tcMar>
            <w:vAlign w:val="center"/>
          </w:tcPr>
          <w:p>
            <w:pPr>
              <w:jc w:val="left"/>
            </w:pPr>
            <w:r>
              <w:rPr>
                <w:b w:val="false"/>
                <w:bCs w:val="false"/>
                <w:sz w:val="17"/>
                <w:szCs w:val="17"/>
              </w:rPr>
              <w:t xml:space="preserve">Major</w:t>
            </w:r>
          </w:p>
        </w:tc>
        <w:tc>
          <w:tcPr>
            <w:tcW w:type="dxa" w:w="7000"/>
            <w:tcMar>
              <w:top w:type="dxa" w:w="60"/>
              <w:left w:type="dxa" w:w="80"/>
              <w:bottom w:type="dxa" w:w="60"/>
              <w:right w:type="dxa" w:w="80"/>
            </w:tcMar>
            <w:vAlign w:val="center"/>
          </w:tcPr>
          <w:p>
            <w:pPr>
              <w:jc w:val="left"/>
            </w:pPr>
            <w:r>
              <w:rPr>
                <w:b w:val="false"/>
                <w:bCs w:val="false"/>
                <w:sz w:val="17"/>
                <w:szCs w:val="17"/>
              </w:rPr>
              <w:t xml:space="preserve">Significant financial loss ($250K–$1M); company-wide operational disruption; mandatory regulatory disclosure</w:t>
            </w:r>
          </w:p>
        </w:tc>
      </w:tr>
      <w:tr>
        <w:tc>
          <w:tcPr>
            <w:tcW w:type="dxa" w:w="700"/>
            <w:tcMar>
              <w:top w:type="dxa" w:w="60"/>
              <w:left w:type="dxa" w:w="80"/>
              <w:bottom w:type="dxa" w:w="60"/>
              <w:right w:type="dxa" w:w="80"/>
            </w:tcMar>
            <w:vAlign w:val="center"/>
          </w:tcPr>
          <w:p>
            <w:pPr>
              <w:jc w:val="left"/>
            </w:pPr>
            <w:r>
              <w:rPr>
                <w:b w:val="false"/>
                <w:bCs w:val="false"/>
                <w:sz w:val="17"/>
                <w:szCs w:val="17"/>
              </w:rPr>
              <w:t xml:space="preserve">5</w:t>
            </w:r>
          </w:p>
        </w:tc>
        <w:tc>
          <w:tcPr>
            <w:tcW w:type="dxa" w:w="1660"/>
            <w:tcMar>
              <w:top w:type="dxa" w:w="60"/>
              <w:left w:type="dxa" w:w="80"/>
              <w:bottom w:type="dxa" w:w="60"/>
              <w:right w:type="dxa" w:w="80"/>
            </w:tcMar>
            <w:vAlign w:val="center"/>
          </w:tcPr>
          <w:p>
            <w:pPr>
              <w:jc w:val="left"/>
            </w:pPr>
            <w:r>
              <w:rPr>
                <w:b w:val="false"/>
                <w:bCs w:val="false"/>
                <w:sz w:val="17"/>
                <w:szCs w:val="17"/>
              </w:rPr>
              <w:t xml:space="preserve">Severe</w:t>
            </w:r>
          </w:p>
        </w:tc>
        <w:tc>
          <w:tcPr>
            <w:tcW w:type="dxa" w:w="7000"/>
            <w:tcMar>
              <w:top w:type="dxa" w:w="60"/>
              <w:left w:type="dxa" w:w="80"/>
              <w:bottom w:type="dxa" w:w="60"/>
              <w:right w:type="dxa" w:w="80"/>
            </w:tcMar>
            <w:vAlign w:val="center"/>
          </w:tcPr>
          <w:p>
            <w:pPr>
              <w:jc w:val="left"/>
            </w:pPr>
            <w:r>
              <w:rPr>
                <w:b w:val="false"/>
                <w:bCs w:val="false"/>
                <w:sz w:val="17"/>
                <w:szCs w:val="17"/>
              </w:rPr>
              <w:t xml:space="preserve">Loss exceeding $1M; extended company-wide outage; license/permit risk; public regulatory action</w:t>
            </w:r>
          </w:p>
        </w:tc>
      </w:tr>
    </w:tbl>
    <w:p>
      <w:pPr>
        <w:spacing w:after="200"/>
      </w:pPr>
    </w:p>
    <w:p>
      <w:pPr>
        <w:pStyle w:val="Heading2"/>
        <w:spacing w:after="150" w:before="300"/>
      </w:pPr>
      <w:r>
        <w:t xml:space="preserve">3.3 Risk Scoring</w:t>
      </w:r>
    </w:p>
    <w:p>
      <w:pPr>
        <w:spacing w:after="120"/>
      </w:pPr>
      <w:r>
        <w:t xml:space="preserve">Risk Score = Likelihood x Impact (range 1–25).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C6EFCE" w:color="auto" w:val="clear"/>
            <w:tcMar>
              <w:top w:type="dxa" w:w="60"/>
              <w:left w:type="dxa" w:w="80"/>
              <w:bottom w:type="dxa" w:w="60"/>
              <w:right w:type="dxa" w:w="80"/>
            </w:tcMar>
            <w:vAlign w:val="center"/>
          </w:tcPr>
          <w:p>
            <w:pPr>
              <w:jc w:val="center"/>
            </w:pPr>
            <w:r>
              <w:rPr>
                <w:b/>
                <w:bCs/>
                <w:sz w:val="18"/>
                <w:szCs w:val="18"/>
              </w:rPr>
              <w:t xml:space="preserve">Low (1-4)</w:t>
            </w:r>
          </w:p>
        </w:tc>
        <w:tc>
          <w:tcPr>
            <w:tcW w:type="dxa" w:w="2340"/>
            <w:shd w:fill="FFEB9C" w:color="auto" w:val="clear"/>
            <w:tcMar>
              <w:top w:type="dxa" w:w="60"/>
              <w:left w:type="dxa" w:w="80"/>
              <w:bottom w:type="dxa" w:w="60"/>
              <w:right w:type="dxa" w:w="80"/>
            </w:tcMar>
            <w:vAlign w:val="center"/>
          </w:tcPr>
          <w:p>
            <w:pPr>
              <w:jc w:val="center"/>
            </w:pPr>
            <w:r>
              <w:rPr>
                <w:b/>
                <w:bCs/>
                <w:sz w:val="18"/>
                <w:szCs w:val="18"/>
              </w:rPr>
              <w:t xml:space="preserve">Medium (5-9)</w:t>
            </w:r>
          </w:p>
        </w:tc>
        <w:tc>
          <w:tcPr>
            <w:tcW w:type="dxa" w:w="2340"/>
            <w:shd w:fill="FFC7A0" w:color="auto" w:val="clear"/>
            <w:tcMar>
              <w:top w:type="dxa" w:w="60"/>
              <w:left w:type="dxa" w:w="80"/>
              <w:bottom w:type="dxa" w:w="60"/>
              <w:right w:type="dxa" w:w="80"/>
            </w:tcMar>
            <w:vAlign w:val="center"/>
          </w:tcPr>
          <w:p>
            <w:pPr>
              <w:jc w:val="center"/>
            </w:pPr>
            <w:r>
              <w:rPr>
                <w:b/>
                <w:bCs/>
                <w:sz w:val="18"/>
                <w:szCs w:val="18"/>
              </w:rPr>
              <w:t xml:space="preserve">High (10-16)</w:t>
            </w:r>
          </w:p>
        </w:tc>
        <w:tc>
          <w:tcPr>
            <w:tcW w:type="dxa" w:w="2340"/>
            <w:shd w:fill="F8696B" w:color="auto" w:val="clear"/>
            <w:tcMar>
              <w:top w:type="dxa" w:w="60"/>
              <w:left w:type="dxa" w:w="80"/>
              <w:bottom w:type="dxa" w:w="60"/>
              <w:right w:type="dxa" w:w="80"/>
            </w:tcMar>
            <w:vAlign w:val="center"/>
          </w:tcPr>
          <w:p>
            <w:pPr>
              <w:jc w:val="center"/>
            </w:pPr>
            <w:r>
              <w:rPr>
                <w:b/>
                <w:bCs/>
                <w:sz w:val="18"/>
                <w:szCs w:val="18"/>
              </w:rPr>
              <w:t xml:space="preserve">Critical (17-25)</w:t>
            </w:r>
          </w:p>
        </w:tc>
      </w:tr>
    </w:tbl>
    <w:p>
      <w:pPr>
        <w:spacing w:after="120"/>
      </w:pPr>
      <w:r>
        <w:rPr>
          <w:i/>
          <w:iCs/>
          <w:sz w:val="18"/>
          <w:szCs w:val="18"/>
        </w:rPr>
        <w:t xml:space="preserve">Both inherent risk (assuming no controls) and residual risk (accounting for controls currently in place) are scored for each risk in Section 4, so the register shows not just "how bad" a scenario is, but how much existing controls are actually doing.</w:t>
      </w:r>
    </w:p>
    <w:p>
      <w:pPr>
        <w:sectPr>
          <w:pgSz w:w="12240" w:h="15840" w:orient="portrait"/>
          <w:pgMar w:top="1440" w:right="1440" w:bottom="1440" w:left="1440" w:header="708" w:footer="708" w:gutter="0"/>
          <w:pgNumType/>
          <w:docGrid w:linePitch="360"/>
        </w:sectPr>
      </w:pPr>
    </w:p>
    <w:p>
      <w:pPr>
        <w:pStyle w:val="Heading1"/>
        <w:spacing w:after="200" w:before="400"/>
      </w:pPr>
      <w:r>
        <w:t xml:space="preserve">4. Risk Register</w:t>
      </w:r>
    </w:p>
    <w:p>
      <w:pPr>
        <w:spacing w:after="120"/>
      </w:pPr>
      <w:r>
        <w:t xml:space="preserve">Sorted by residual risk (highest first). Full detail — including specific vulnerabilities, existing controls, and treatment owners — supports the roadmap in Section 6.</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1600"/>
        <w:gridCol w:w="1300"/>
        <w:gridCol w:w="700"/>
        <w:gridCol w:w="700"/>
        <w:gridCol w:w="1600"/>
        <w:gridCol w:w="700"/>
        <w:gridCol w:w="700"/>
        <w:gridCol w:w="1200"/>
        <w:gridCol w:w="1060"/>
        <w:gridCol w:w="700"/>
      </w:tblGrid>
      <w:tr>
        <w:trPr>
          <w:tblHeader/>
        </w:trPr>
        <w:tc>
          <w:tcPr>
            <w:tcW w:type="dxa" w:w="400"/>
            <w:shd w:fill="1F3864" w:color="auto" w:val="clear"/>
            <w:tcMar>
              <w:top w:type="dxa" w:w="60"/>
              <w:left w:type="dxa" w:w="80"/>
              <w:bottom w:type="dxa" w:w="60"/>
              <w:right w:type="dxa" w:w="80"/>
            </w:tcMar>
            <w:vAlign w:val="center"/>
          </w:tcPr>
          <w:p>
            <w:pPr>
              <w:jc w:val="left"/>
            </w:pPr>
            <w:r>
              <w:rPr>
                <w:b/>
                <w:bCs/>
                <w:color w:val="FFFFFF"/>
                <w:sz w:val="18"/>
                <w:szCs w:val="18"/>
              </w:rPr>
              <w:t xml:space="preserve">ID</w:t>
            </w:r>
          </w:p>
        </w:tc>
        <w:tc>
          <w:tcPr>
            <w:tcW w:type="dxa" w:w="2300"/>
            <w:shd w:fill="1F3864" w:color="auto" w:val="clear"/>
            <w:tcMar>
              <w:top w:type="dxa" w:w="60"/>
              <w:left w:type="dxa" w:w="80"/>
              <w:bottom w:type="dxa" w:w="60"/>
              <w:right w:type="dxa" w:w="80"/>
            </w:tcMar>
            <w:vAlign w:val="center"/>
          </w:tcPr>
          <w:p>
            <w:pPr>
              <w:jc w:val="left"/>
            </w:pPr>
            <w:r>
              <w:rPr>
                <w:b/>
                <w:bCs/>
                <w:color w:val="FFFFFF"/>
                <w:sz w:val="18"/>
                <w:szCs w:val="18"/>
              </w:rPr>
              <w:t xml:space="preserve">Threat Scenario</w:t>
            </w:r>
          </w:p>
        </w:tc>
        <w:tc>
          <w:tcPr>
            <w:tcW w:type="dxa" w:w="1600"/>
            <w:shd w:fill="1F3864" w:color="auto" w:val="clear"/>
            <w:tcMar>
              <w:top w:type="dxa" w:w="60"/>
              <w:left w:type="dxa" w:w="80"/>
              <w:bottom w:type="dxa" w:w="60"/>
              <w:right w:type="dxa" w:w="80"/>
            </w:tcMar>
            <w:vAlign w:val="center"/>
          </w:tcPr>
          <w:p>
            <w:pPr>
              <w:jc w:val="left"/>
            </w:pPr>
            <w:r>
              <w:rPr>
                <w:b/>
                <w:bCs/>
                <w:color w:val="FFFFFF"/>
                <w:sz w:val="18"/>
                <w:szCs w:val="18"/>
              </w:rPr>
              <w:t xml:space="preserve">Vulnerability</w:t>
            </w:r>
          </w:p>
        </w:tc>
        <w:tc>
          <w:tcPr>
            <w:tcW w:type="dxa" w:w="1300"/>
            <w:shd w:fill="1F3864" w:color="auto" w:val="clear"/>
            <w:tcMar>
              <w:top w:type="dxa" w:w="60"/>
              <w:left w:type="dxa" w:w="80"/>
              <w:bottom w:type="dxa" w:w="60"/>
              <w:right w:type="dxa" w:w="80"/>
            </w:tcMar>
            <w:vAlign w:val="center"/>
          </w:tcPr>
          <w:p>
            <w:pPr>
              <w:jc w:val="left"/>
            </w:pPr>
            <w:r>
              <w:rPr>
                <w:b/>
                <w:bCs/>
                <w:color w:val="FFFFFF"/>
                <w:sz w:val="18"/>
                <w:szCs w:val="18"/>
              </w:rPr>
              <w:t xml:space="preserve">Asset(s)</w:t>
            </w:r>
          </w:p>
        </w:tc>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Inh.</w:t>
            </w:r>
          </w:p>
        </w:tc>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Inh. Lvl</w:t>
            </w:r>
          </w:p>
        </w:tc>
        <w:tc>
          <w:tcPr>
            <w:tcW w:type="dxa" w:w="1600"/>
            <w:shd w:fill="1F3864" w:color="auto" w:val="clear"/>
            <w:tcMar>
              <w:top w:type="dxa" w:w="60"/>
              <w:left w:type="dxa" w:w="80"/>
              <w:bottom w:type="dxa" w:w="60"/>
              <w:right w:type="dxa" w:w="80"/>
            </w:tcMar>
            <w:vAlign w:val="center"/>
          </w:tcPr>
          <w:p>
            <w:pPr>
              <w:jc w:val="left"/>
            </w:pPr>
            <w:r>
              <w:rPr>
                <w:b/>
                <w:bCs/>
                <w:color w:val="FFFFFF"/>
                <w:sz w:val="18"/>
                <w:szCs w:val="18"/>
              </w:rPr>
              <w:t xml:space="preserve">Existing Controls</w:t>
            </w:r>
          </w:p>
        </w:tc>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Res.</w:t>
            </w:r>
          </w:p>
        </w:tc>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Res. Lvl</w:t>
            </w:r>
          </w:p>
        </w:tc>
        <w:tc>
          <w:tcPr>
            <w:tcW w:type="dxa" w:w="1200"/>
            <w:shd w:fill="1F3864" w:color="auto" w:val="clear"/>
            <w:tcMar>
              <w:top w:type="dxa" w:w="60"/>
              <w:left w:type="dxa" w:w="80"/>
              <w:bottom w:type="dxa" w:w="60"/>
              <w:right w:type="dxa" w:w="80"/>
            </w:tcMar>
            <w:vAlign w:val="center"/>
          </w:tcPr>
          <w:p>
            <w:pPr>
              <w:jc w:val="left"/>
            </w:pPr>
            <w:r>
              <w:rPr>
                <w:b/>
                <w:bCs/>
                <w:color w:val="FFFFFF"/>
                <w:sz w:val="18"/>
                <w:szCs w:val="18"/>
              </w:rPr>
              <w:t xml:space="preserve">Treatment</w:t>
            </w:r>
          </w:p>
        </w:tc>
        <w:tc>
          <w:tcPr>
            <w:tcW w:type="dxa" w:w="1060"/>
            <w:shd w:fill="1F3864" w:color="auto" w:val="clear"/>
            <w:tcMar>
              <w:top w:type="dxa" w:w="60"/>
              <w:left w:type="dxa" w:w="80"/>
              <w:bottom w:type="dxa" w:w="60"/>
              <w:right w:type="dxa" w:w="80"/>
            </w:tcMar>
            <w:vAlign w:val="center"/>
          </w:tcPr>
          <w:p>
            <w:pPr>
              <w:jc w:val="left"/>
            </w:pPr>
            <w:r>
              <w:rPr>
                <w:b/>
                <w:bCs/>
                <w:color w:val="FFFFFF"/>
                <w:sz w:val="18"/>
                <w:szCs w:val="18"/>
              </w:rPr>
              <w:t xml:space="preserve">Owner</w:t>
            </w:r>
          </w:p>
        </w:tc>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Target</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R-01</w:t>
            </w:r>
          </w:p>
        </w:tc>
        <w:tc>
          <w:tcPr>
            <w:tcW w:type="dxa" w:w="2300"/>
            <w:tcMar>
              <w:top w:type="dxa" w:w="60"/>
              <w:left w:type="dxa" w:w="80"/>
              <w:bottom w:type="dxa" w:w="60"/>
              <w:right w:type="dxa" w:w="80"/>
            </w:tcMar>
            <w:vAlign w:val="center"/>
          </w:tcPr>
          <w:p>
            <w:pPr>
              <w:jc w:val="left"/>
            </w:pPr>
            <w:r>
              <w:rPr>
                <w:b w:val="false"/>
                <w:bCs w:val="false"/>
                <w:sz w:val="17"/>
                <w:szCs w:val="17"/>
              </w:rPr>
              <w:t xml:space="preserve">Phishing-delivered ransomware encrypts ERP/finance data, halting payroll and billing</w:t>
            </w:r>
          </w:p>
        </w:tc>
        <w:tc>
          <w:tcPr>
            <w:tcW w:type="dxa" w:w="1600"/>
            <w:tcMar>
              <w:top w:type="dxa" w:w="60"/>
              <w:left w:type="dxa" w:w="80"/>
              <w:bottom w:type="dxa" w:w="60"/>
              <w:right w:type="dxa" w:w="80"/>
            </w:tcMar>
            <w:vAlign w:val="center"/>
          </w:tcPr>
          <w:p>
            <w:pPr>
              <w:jc w:val="left"/>
            </w:pPr>
            <w:r>
              <w:rPr>
                <w:b w:val="false"/>
                <w:bCs w:val="false"/>
                <w:sz w:val="17"/>
                <w:szCs w:val="17"/>
              </w:rPr>
              <w:t xml:space="preserve">Limited phishing-resistant MFA; inconsistent security-awareness training; legacy VPN access to ERP</w:t>
            </w:r>
          </w:p>
        </w:tc>
        <w:tc>
          <w:tcPr>
            <w:tcW w:type="dxa" w:w="1300"/>
            <w:tcMar>
              <w:top w:type="dxa" w:w="60"/>
              <w:left w:type="dxa" w:w="80"/>
              <w:bottom w:type="dxa" w:w="60"/>
              <w:right w:type="dxa" w:w="80"/>
            </w:tcMar>
            <w:vAlign w:val="center"/>
          </w:tcPr>
          <w:p>
            <w:pPr>
              <w:jc w:val="left"/>
            </w:pPr>
            <w:r>
              <w:rPr>
                <w:b w:val="false"/>
                <w:bCs w:val="false"/>
                <w:sz w:val="17"/>
                <w:szCs w:val="17"/>
              </w:rPr>
              <w:t xml:space="preserve">A-05 ERP/Finance System</w:t>
            </w:r>
          </w:p>
        </w:tc>
        <w:tc>
          <w:tcPr>
            <w:tcW w:type="dxa" w:w="700"/>
            <w:tcMar>
              <w:top w:type="dxa" w:w="60"/>
              <w:left w:type="dxa" w:w="80"/>
              <w:bottom w:type="dxa" w:w="60"/>
              <w:right w:type="dxa" w:w="80"/>
            </w:tcMar>
            <w:vAlign w:val="center"/>
          </w:tcPr>
          <w:p>
            <w:pPr>
              <w:jc w:val="left"/>
            </w:pPr>
            <w:r>
              <w:rPr>
                <w:b w:val="false"/>
                <w:bCs w:val="false"/>
                <w:sz w:val="17"/>
                <w:szCs w:val="17"/>
              </w:rPr>
              <w:t xml:space="preserve">20</w:t>
            </w:r>
          </w:p>
        </w:tc>
        <w:tc>
          <w:tcPr>
            <w:tcW w:type="dxa" w:w="700"/>
            <w:shd w:fill="F8696B" w:color="auto" w:val="clear"/>
            <w:tcMar>
              <w:top w:type="dxa" w:w="60"/>
              <w:left w:type="dxa" w:w="80"/>
              <w:bottom w:type="dxa" w:w="60"/>
              <w:right w:type="dxa" w:w="80"/>
            </w:tcMar>
            <w:vAlign w:val="center"/>
          </w:tcPr>
          <w:p>
            <w:pPr>
              <w:jc w:val="left"/>
            </w:pPr>
            <w:r>
              <w:rPr>
                <w:b/>
                <w:bCs/>
                <w:sz w:val="17"/>
                <w:szCs w:val="17"/>
              </w:rPr>
              <w:t xml:space="preserve">Critical</w:t>
            </w:r>
          </w:p>
        </w:tc>
        <w:tc>
          <w:tcPr>
            <w:tcW w:type="dxa" w:w="1600"/>
            <w:tcMar>
              <w:top w:type="dxa" w:w="60"/>
              <w:left w:type="dxa" w:w="80"/>
              <w:bottom w:type="dxa" w:w="60"/>
              <w:right w:type="dxa" w:w="80"/>
            </w:tcMar>
            <w:vAlign w:val="center"/>
          </w:tcPr>
          <w:p>
            <w:pPr>
              <w:jc w:val="left"/>
            </w:pPr>
            <w:r>
              <w:rPr>
                <w:b w:val="false"/>
                <w:bCs w:val="false"/>
                <w:sz w:val="17"/>
                <w:szCs w:val="17"/>
              </w:rPr>
              <w:t xml:space="preserve">Email filtering (basic), nightly backups (untested restore), antivirus on endpoints</w:t>
            </w:r>
          </w:p>
        </w:tc>
        <w:tc>
          <w:tcPr>
            <w:tcW w:type="dxa" w:w="700"/>
            <w:tcMar>
              <w:top w:type="dxa" w:w="60"/>
              <w:left w:type="dxa" w:w="80"/>
              <w:bottom w:type="dxa" w:w="60"/>
              <w:right w:type="dxa" w:w="80"/>
            </w:tcMar>
            <w:vAlign w:val="center"/>
          </w:tcPr>
          <w:p>
            <w:pPr>
              <w:jc w:val="left"/>
            </w:pPr>
            <w:r>
              <w:rPr>
                <w:b w:val="false"/>
                <w:bCs w:val="false"/>
                <w:sz w:val="17"/>
                <w:szCs w:val="17"/>
              </w:rPr>
              <w:t xml:space="preserve">10</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CFO / IT Manager</w:t>
            </w:r>
          </w:p>
        </w:tc>
        <w:tc>
          <w:tcPr>
            <w:tcW w:type="dxa" w:w="700"/>
            <w:tcMar>
              <w:top w:type="dxa" w:w="60"/>
              <w:left w:type="dxa" w:w="80"/>
              <w:bottom w:type="dxa" w:w="60"/>
              <w:right w:type="dxa" w:w="80"/>
            </w:tcMar>
            <w:vAlign w:val="center"/>
          </w:tcPr>
          <w:p>
            <w:pPr>
              <w:jc w:val="left"/>
            </w:pPr>
            <w:r>
              <w:rPr>
                <w:b w:val="false"/>
                <w:bCs w:val="false"/>
                <w:sz w:val="17"/>
                <w:szCs w:val="17"/>
              </w:rPr>
              <w:t xml:space="preserve">Q1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R-02</w:t>
            </w:r>
          </w:p>
        </w:tc>
        <w:tc>
          <w:tcPr>
            <w:tcW w:type="dxa" w:w="2300"/>
            <w:tcMar>
              <w:top w:type="dxa" w:w="60"/>
              <w:left w:type="dxa" w:w="80"/>
              <w:bottom w:type="dxa" w:w="60"/>
              <w:right w:type="dxa" w:w="80"/>
            </w:tcMar>
            <w:vAlign w:val="center"/>
          </w:tcPr>
          <w:p>
            <w:pPr>
              <w:jc w:val="left"/>
            </w:pPr>
            <w:r>
              <w:rPr>
                <w:b w:val="false"/>
                <w:bCs w:val="false"/>
                <w:sz w:val="17"/>
                <w:szCs w:val="17"/>
              </w:rPr>
              <w:t xml:space="preserve">Business email compromise (BEC) leads to a fraudulent wire transfer approval</w:t>
            </w:r>
          </w:p>
        </w:tc>
        <w:tc>
          <w:tcPr>
            <w:tcW w:type="dxa" w:w="1600"/>
            <w:tcMar>
              <w:top w:type="dxa" w:w="60"/>
              <w:left w:type="dxa" w:w="80"/>
              <w:bottom w:type="dxa" w:w="60"/>
              <w:right w:type="dxa" w:w="80"/>
            </w:tcMar>
            <w:vAlign w:val="center"/>
          </w:tcPr>
          <w:p>
            <w:pPr>
              <w:jc w:val="left"/>
            </w:pPr>
            <w:r>
              <w:rPr>
                <w:b w:val="false"/>
                <w:bCs w:val="false"/>
                <w:sz w:val="17"/>
                <w:szCs w:val="17"/>
              </w:rPr>
              <w:t xml:space="preserve">No dual-approval requirement above a set dollar threshold; spoofable sender display names not flagged</w:t>
            </w:r>
          </w:p>
        </w:tc>
        <w:tc>
          <w:tcPr>
            <w:tcW w:type="dxa" w:w="1300"/>
            <w:tcMar>
              <w:top w:type="dxa" w:w="60"/>
              <w:left w:type="dxa" w:w="80"/>
              <w:bottom w:type="dxa" w:w="60"/>
              <w:right w:type="dxa" w:w="80"/>
            </w:tcMar>
            <w:vAlign w:val="center"/>
          </w:tcPr>
          <w:p>
            <w:pPr>
              <w:jc w:val="left"/>
            </w:pPr>
            <w:r>
              <w:rPr>
                <w:b w:val="false"/>
                <w:bCs w:val="false"/>
                <w:sz w:val="17"/>
                <w:szCs w:val="17"/>
              </w:rPr>
              <w:t xml:space="preserve">A-05 ERP/Finance System, A-07 Email</w:t>
            </w:r>
          </w:p>
        </w:tc>
        <w:tc>
          <w:tcPr>
            <w:tcW w:type="dxa" w:w="700"/>
            <w:tcMar>
              <w:top w:type="dxa" w:w="60"/>
              <w:left w:type="dxa" w:w="80"/>
              <w:bottom w:type="dxa" w:w="60"/>
              <w:right w:type="dxa" w:w="80"/>
            </w:tcMar>
            <w:vAlign w:val="center"/>
          </w:tcPr>
          <w:p>
            <w:pPr>
              <w:jc w:val="left"/>
            </w:pPr>
            <w:r>
              <w:rPr>
                <w:b w:val="false"/>
                <w:bCs w:val="false"/>
                <w:sz w:val="17"/>
                <w:szCs w:val="17"/>
              </w:rPr>
              <w:t xml:space="preserve">15</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600"/>
            <w:tcMar>
              <w:top w:type="dxa" w:w="60"/>
              <w:left w:type="dxa" w:w="80"/>
              <w:bottom w:type="dxa" w:w="60"/>
              <w:right w:type="dxa" w:w="80"/>
            </w:tcMar>
            <w:vAlign w:val="center"/>
          </w:tcPr>
          <w:p>
            <w:pPr>
              <w:jc w:val="left"/>
            </w:pPr>
            <w:r>
              <w:rPr>
                <w:b w:val="false"/>
                <w:bCs w:val="false"/>
                <w:sz w:val="17"/>
                <w:szCs w:val="17"/>
              </w:rPr>
              <w:t xml:space="preserve">Manual callback verification for new vendors (inconsistently followed)</w:t>
            </w:r>
          </w:p>
        </w:tc>
        <w:tc>
          <w:tcPr>
            <w:tcW w:type="dxa" w:w="700"/>
            <w:tcMar>
              <w:top w:type="dxa" w:w="60"/>
              <w:left w:type="dxa" w:w="80"/>
              <w:bottom w:type="dxa" w:w="60"/>
              <w:right w:type="dxa" w:w="80"/>
            </w:tcMar>
            <w:vAlign w:val="center"/>
          </w:tcPr>
          <w:p>
            <w:pPr>
              <w:jc w:val="left"/>
            </w:pPr>
            <w:r>
              <w:rPr>
                <w:b w:val="false"/>
                <w:bCs w:val="false"/>
                <w:sz w:val="17"/>
                <w:szCs w:val="17"/>
              </w:rPr>
              <w:t xml:space="preserve">10</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CFO</w:t>
            </w:r>
          </w:p>
        </w:tc>
        <w:tc>
          <w:tcPr>
            <w:tcW w:type="dxa" w:w="700"/>
            <w:tcMar>
              <w:top w:type="dxa" w:w="60"/>
              <w:left w:type="dxa" w:w="80"/>
              <w:bottom w:type="dxa" w:w="60"/>
              <w:right w:type="dxa" w:w="80"/>
            </w:tcMar>
            <w:vAlign w:val="center"/>
          </w:tcPr>
          <w:p>
            <w:pPr>
              <w:jc w:val="left"/>
            </w:pPr>
            <w:r>
              <w:rPr>
                <w:b w:val="false"/>
                <w:bCs w:val="false"/>
                <w:sz w:val="17"/>
                <w:szCs w:val="17"/>
              </w:rPr>
              <w:t xml:space="preserve">Q1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R-03</w:t>
            </w:r>
          </w:p>
        </w:tc>
        <w:tc>
          <w:tcPr>
            <w:tcW w:type="dxa" w:w="2300"/>
            <w:tcMar>
              <w:top w:type="dxa" w:w="60"/>
              <w:left w:type="dxa" w:w="80"/>
              <w:bottom w:type="dxa" w:w="60"/>
              <w:right w:type="dxa" w:w="80"/>
            </w:tcMar>
            <w:vAlign w:val="center"/>
          </w:tcPr>
          <w:p>
            <w:pPr>
              <w:jc w:val="left"/>
            </w:pPr>
            <w:r>
              <w:rPr>
                <w:b w:val="false"/>
                <w:bCs w:val="false"/>
                <w:sz w:val="17"/>
                <w:szCs w:val="17"/>
              </w:rPr>
              <w:t xml:space="preserve">Falsified or tampered environmental compliance data submitted to regulators (insider or integration error)</w:t>
            </w:r>
          </w:p>
        </w:tc>
        <w:tc>
          <w:tcPr>
            <w:tcW w:type="dxa" w:w="1600"/>
            <w:tcMar>
              <w:top w:type="dxa" w:w="60"/>
              <w:left w:type="dxa" w:w="80"/>
              <w:bottom w:type="dxa" w:w="60"/>
              <w:right w:type="dxa" w:w="80"/>
            </w:tcMar>
            <w:vAlign w:val="center"/>
          </w:tcPr>
          <w:p>
            <w:pPr>
              <w:jc w:val="left"/>
            </w:pPr>
            <w:r>
              <w:rPr>
                <w:b w:val="false"/>
                <w:bCs w:val="false"/>
                <w:sz w:val="17"/>
                <w:szCs w:val="17"/>
              </w:rPr>
              <w:t xml:space="preserve">No integrity checksums on waste-volume data exchange; limited audit trail on manual data corrections</w:t>
            </w:r>
          </w:p>
        </w:tc>
        <w:tc>
          <w:tcPr>
            <w:tcW w:type="dxa" w:w="1300"/>
            <w:tcMar>
              <w:top w:type="dxa" w:w="60"/>
              <w:left w:type="dxa" w:w="80"/>
              <w:bottom w:type="dxa" w:w="60"/>
              <w:right w:type="dxa" w:w="80"/>
            </w:tcMar>
            <w:vAlign w:val="center"/>
          </w:tcPr>
          <w:p>
            <w:pPr>
              <w:jc w:val="left"/>
            </w:pPr>
            <w:r>
              <w:rPr>
                <w:b w:val="false"/>
                <w:bCs w:val="false"/>
                <w:sz w:val="17"/>
                <w:szCs w:val="17"/>
              </w:rPr>
              <w:t xml:space="preserve">A-09 Compliance Data Warehouse, A-10 Disposal Facility Exchange</w:t>
            </w:r>
          </w:p>
        </w:tc>
        <w:tc>
          <w:tcPr>
            <w:tcW w:type="dxa" w:w="700"/>
            <w:tcMar>
              <w:top w:type="dxa" w:w="60"/>
              <w:left w:type="dxa" w:w="80"/>
              <w:bottom w:type="dxa" w:w="60"/>
              <w:right w:type="dxa" w:w="80"/>
            </w:tcMar>
            <w:vAlign w:val="center"/>
          </w:tcPr>
          <w:p>
            <w:pPr>
              <w:jc w:val="left"/>
            </w:pPr>
            <w:r>
              <w:rPr>
                <w:b w:val="false"/>
                <w:bCs w:val="false"/>
                <w:sz w:val="17"/>
                <w:szCs w:val="17"/>
              </w:rPr>
              <w:t xml:space="preserve">10</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600"/>
            <w:tcMar>
              <w:top w:type="dxa" w:w="60"/>
              <w:left w:type="dxa" w:w="80"/>
              <w:bottom w:type="dxa" w:w="60"/>
              <w:right w:type="dxa" w:w="80"/>
            </w:tcMar>
            <w:vAlign w:val="center"/>
          </w:tcPr>
          <w:p>
            <w:pPr>
              <w:jc w:val="left"/>
            </w:pPr>
            <w:r>
              <w:rPr>
                <w:b w:val="false"/>
                <w:bCs w:val="false"/>
                <w:sz w:val="17"/>
                <w:szCs w:val="17"/>
              </w:rPr>
              <w:t xml:space="preserve">Monthly manual spot-check reconciliation by Compliance Officer</w:t>
            </w:r>
          </w:p>
        </w:tc>
        <w:tc>
          <w:tcPr>
            <w:tcW w:type="dxa" w:w="700"/>
            <w:tcMar>
              <w:top w:type="dxa" w:w="60"/>
              <w:left w:type="dxa" w:w="80"/>
              <w:bottom w:type="dxa" w:w="60"/>
              <w:right w:type="dxa" w:w="80"/>
            </w:tcMar>
            <w:vAlign w:val="center"/>
          </w:tcPr>
          <w:p>
            <w:pPr>
              <w:jc w:val="left"/>
            </w:pPr>
            <w:r>
              <w:rPr>
                <w:b w:val="false"/>
                <w:bCs w:val="false"/>
                <w:sz w:val="17"/>
                <w:szCs w:val="17"/>
              </w:rPr>
              <w:t xml:space="preserve">8</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Compliance Officer</w:t>
            </w:r>
          </w:p>
        </w:tc>
        <w:tc>
          <w:tcPr>
            <w:tcW w:type="dxa" w:w="700"/>
            <w:tcMar>
              <w:top w:type="dxa" w:w="60"/>
              <w:left w:type="dxa" w:w="80"/>
              <w:bottom w:type="dxa" w:w="60"/>
              <w:right w:type="dxa" w:w="80"/>
            </w:tcMar>
            <w:vAlign w:val="center"/>
          </w:tcPr>
          <w:p>
            <w:pPr>
              <w:jc w:val="left"/>
            </w:pPr>
            <w:r>
              <w:rPr>
                <w:b w:val="false"/>
                <w:bCs w:val="false"/>
                <w:sz w:val="17"/>
                <w:szCs w:val="17"/>
              </w:rPr>
              <w:t xml:space="preserve">Q2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R-04</w:t>
            </w:r>
          </w:p>
        </w:tc>
        <w:tc>
          <w:tcPr>
            <w:tcW w:type="dxa" w:w="2300"/>
            <w:tcMar>
              <w:top w:type="dxa" w:w="60"/>
              <w:left w:type="dxa" w:w="80"/>
              <w:bottom w:type="dxa" w:w="60"/>
              <w:right w:type="dxa" w:w="80"/>
            </w:tcMar>
            <w:vAlign w:val="center"/>
          </w:tcPr>
          <w:p>
            <w:pPr>
              <w:jc w:val="left"/>
            </w:pPr>
            <w:r>
              <w:rPr>
                <w:b w:val="false"/>
                <w:bCs w:val="false"/>
                <w:sz w:val="17"/>
                <w:szCs w:val="17"/>
              </w:rPr>
              <w:t xml:space="preserve">Unpatched IoT telematics units exploited as a pivot point into the corporate network</w:t>
            </w:r>
          </w:p>
        </w:tc>
        <w:tc>
          <w:tcPr>
            <w:tcW w:type="dxa" w:w="1600"/>
            <w:tcMar>
              <w:top w:type="dxa" w:w="60"/>
              <w:left w:type="dxa" w:w="80"/>
              <w:bottom w:type="dxa" w:w="60"/>
              <w:right w:type="dxa" w:w="80"/>
            </w:tcMar>
            <w:vAlign w:val="center"/>
          </w:tcPr>
          <w:p>
            <w:pPr>
              <w:jc w:val="left"/>
            </w:pPr>
            <w:r>
              <w:rPr>
                <w:b w:val="false"/>
                <w:bCs w:val="false"/>
                <w:sz w:val="17"/>
                <w:szCs w:val="17"/>
              </w:rPr>
              <w:t xml:space="preserve">Vendor-managed firmware with no formal patch SLA; telematics VLAN not fully segmented from corporate LAN</w:t>
            </w:r>
          </w:p>
        </w:tc>
        <w:tc>
          <w:tcPr>
            <w:tcW w:type="dxa" w:w="1300"/>
            <w:tcMar>
              <w:top w:type="dxa" w:w="60"/>
              <w:left w:type="dxa" w:w="80"/>
              <w:bottom w:type="dxa" w:w="60"/>
              <w:right w:type="dxa" w:w="80"/>
            </w:tcMar>
            <w:vAlign w:val="center"/>
          </w:tcPr>
          <w:p>
            <w:pPr>
              <w:jc w:val="left"/>
            </w:pPr>
            <w:r>
              <w:rPr>
                <w:b w:val="false"/>
                <w:bCs w:val="false"/>
                <w:sz w:val="17"/>
                <w:szCs w:val="17"/>
              </w:rPr>
              <w:t xml:space="preserve">A-01 Fleet Telematics Platform</w:t>
            </w:r>
          </w:p>
        </w:tc>
        <w:tc>
          <w:tcPr>
            <w:tcW w:type="dxa" w:w="700"/>
            <w:tcMar>
              <w:top w:type="dxa" w:w="60"/>
              <w:left w:type="dxa" w:w="80"/>
              <w:bottom w:type="dxa" w:w="60"/>
              <w:right w:type="dxa" w:w="80"/>
            </w:tcMar>
            <w:vAlign w:val="center"/>
          </w:tcPr>
          <w:p>
            <w:pPr>
              <w:jc w:val="left"/>
            </w:pPr>
            <w:r>
              <w:rPr>
                <w:b w:val="false"/>
                <w:bCs w:val="false"/>
                <w:sz w:val="17"/>
                <w:szCs w:val="17"/>
              </w:rPr>
              <w:t xml:space="preserve">12</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600"/>
            <w:tcMar>
              <w:top w:type="dxa" w:w="60"/>
              <w:left w:type="dxa" w:w="80"/>
              <w:bottom w:type="dxa" w:w="60"/>
              <w:right w:type="dxa" w:w="80"/>
            </w:tcMar>
            <w:vAlign w:val="center"/>
          </w:tcPr>
          <w:p>
            <w:pPr>
              <w:jc w:val="left"/>
            </w:pPr>
            <w:r>
              <w:rPr>
                <w:b w:val="false"/>
                <w:bCs w:val="false"/>
                <w:sz w:val="17"/>
                <w:szCs w:val="17"/>
              </w:rPr>
              <w:t xml:space="preserve">Vendor manages patching (no visibility into cadence); partial network segmentation</w:t>
            </w:r>
          </w:p>
        </w:tc>
        <w:tc>
          <w:tcPr>
            <w:tcW w:type="dxa" w:w="700"/>
            <w:tcMar>
              <w:top w:type="dxa" w:w="60"/>
              <w:left w:type="dxa" w:w="80"/>
              <w:bottom w:type="dxa" w:w="60"/>
              <w:right w:type="dxa" w:w="80"/>
            </w:tcMar>
            <w:vAlign w:val="center"/>
          </w:tcPr>
          <w:p>
            <w:pPr>
              <w:jc w:val="left"/>
            </w:pPr>
            <w:r>
              <w:rPr>
                <w:b w:val="false"/>
                <w:bCs w:val="false"/>
                <w:sz w:val="17"/>
                <w:szCs w:val="17"/>
              </w:rPr>
              <w:t xml:space="preserve">8</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IT Manager</w:t>
            </w:r>
          </w:p>
        </w:tc>
        <w:tc>
          <w:tcPr>
            <w:tcW w:type="dxa" w:w="700"/>
            <w:tcMar>
              <w:top w:type="dxa" w:w="60"/>
              <w:left w:type="dxa" w:w="80"/>
              <w:bottom w:type="dxa" w:w="60"/>
              <w:right w:type="dxa" w:w="80"/>
            </w:tcMar>
            <w:vAlign w:val="center"/>
          </w:tcPr>
          <w:p>
            <w:pPr>
              <w:jc w:val="left"/>
            </w:pPr>
            <w:r>
              <w:rPr>
                <w:b w:val="false"/>
                <w:bCs w:val="false"/>
                <w:sz w:val="17"/>
                <w:szCs w:val="17"/>
              </w:rPr>
              <w:t xml:space="preserve">Q2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R-05</w:t>
            </w:r>
          </w:p>
        </w:tc>
        <w:tc>
          <w:tcPr>
            <w:tcW w:type="dxa" w:w="2300"/>
            <w:tcMar>
              <w:top w:type="dxa" w:w="60"/>
              <w:left w:type="dxa" w:w="80"/>
              <w:bottom w:type="dxa" w:w="60"/>
              <w:right w:type="dxa" w:w="80"/>
            </w:tcMar>
            <w:vAlign w:val="center"/>
          </w:tcPr>
          <w:p>
            <w:pPr>
              <w:jc w:val="left"/>
            </w:pPr>
            <w:r>
              <w:rPr>
                <w:b w:val="false"/>
                <w:bCs w:val="false"/>
                <w:sz w:val="17"/>
                <w:szCs w:val="17"/>
              </w:rPr>
              <w:t xml:space="preserve">Customer billing portal compromised via injection or broken access control, exposing customer payment data</w:t>
            </w:r>
          </w:p>
        </w:tc>
        <w:tc>
          <w:tcPr>
            <w:tcW w:type="dxa" w:w="1600"/>
            <w:tcMar>
              <w:top w:type="dxa" w:w="60"/>
              <w:left w:type="dxa" w:w="80"/>
              <w:bottom w:type="dxa" w:w="60"/>
              <w:right w:type="dxa" w:w="80"/>
            </w:tcMar>
            <w:vAlign w:val="center"/>
          </w:tcPr>
          <w:p>
            <w:pPr>
              <w:jc w:val="left"/>
            </w:pPr>
            <w:r>
              <w:rPr>
                <w:b w:val="false"/>
                <w:bCs w:val="false"/>
                <w:sz w:val="17"/>
                <w:szCs w:val="17"/>
              </w:rPr>
              <w:t xml:space="preserve">Portal has not had an independent security assessment since launch; no WAF in front of the application</w:t>
            </w:r>
          </w:p>
        </w:tc>
        <w:tc>
          <w:tcPr>
            <w:tcW w:type="dxa" w:w="1300"/>
            <w:tcMar>
              <w:top w:type="dxa" w:w="60"/>
              <w:left w:type="dxa" w:w="80"/>
              <w:bottom w:type="dxa" w:w="60"/>
              <w:right w:type="dxa" w:w="80"/>
            </w:tcMar>
            <w:vAlign w:val="center"/>
          </w:tcPr>
          <w:p>
            <w:pPr>
              <w:jc w:val="left"/>
            </w:pPr>
            <w:r>
              <w:rPr>
                <w:b w:val="false"/>
                <w:bCs w:val="false"/>
                <w:sz w:val="17"/>
                <w:szCs w:val="17"/>
              </w:rPr>
              <w:t xml:space="preserve">A-03 Customer Billing Portal</w:t>
            </w:r>
          </w:p>
        </w:tc>
        <w:tc>
          <w:tcPr>
            <w:tcW w:type="dxa" w:w="700"/>
            <w:tcMar>
              <w:top w:type="dxa" w:w="60"/>
              <w:left w:type="dxa" w:w="80"/>
              <w:bottom w:type="dxa" w:w="60"/>
              <w:right w:type="dxa" w:w="80"/>
            </w:tcMar>
            <w:vAlign w:val="center"/>
          </w:tcPr>
          <w:p>
            <w:pPr>
              <w:jc w:val="left"/>
            </w:pPr>
            <w:r>
              <w:rPr>
                <w:b w:val="false"/>
                <w:bCs w:val="false"/>
                <w:sz w:val="17"/>
                <w:szCs w:val="17"/>
              </w:rPr>
              <w:t xml:space="preserve">15</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600"/>
            <w:tcMar>
              <w:top w:type="dxa" w:w="60"/>
              <w:left w:type="dxa" w:w="80"/>
              <w:bottom w:type="dxa" w:w="60"/>
              <w:right w:type="dxa" w:w="80"/>
            </w:tcMar>
            <w:vAlign w:val="center"/>
          </w:tcPr>
          <w:p>
            <w:pPr>
              <w:jc w:val="left"/>
            </w:pPr>
            <w:r>
              <w:rPr>
                <w:b w:val="false"/>
                <w:bCs w:val="false"/>
                <w:sz w:val="17"/>
                <w:szCs w:val="17"/>
              </w:rPr>
              <w:t xml:space="preserve">TLS in transit, PCI-scoped payment processor (tokenized, not stored directly)</w:t>
            </w:r>
          </w:p>
        </w:tc>
        <w:tc>
          <w:tcPr>
            <w:tcW w:type="dxa" w:w="700"/>
            <w:tcMar>
              <w:top w:type="dxa" w:w="60"/>
              <w:left w:type="dxa" w:w="80"/>
              <w:bottom w:type="dxa" w:w="60"/>
              <w:right w:type="dxa" w:w="80"/>
            </w:tcMar>
            <w:vAlign w:val="center"/>
          </w:tcPr>
          <w:p>
            <w:pPr>
              <w:jc w:val="left"/>
            </w:pPr>
            <w:r>
              <w:rPr>
                <w:b w:val="false"/>
                <w:bCs w:val="false"/>
                <w:sz w:val="17"/>
                <w:szCs w:val="17"/>
              </w:rPr>
              <w:t xml:space="preserve">8</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Finance Director / IT Manager</w:t>
            </w:r>
          </w:p>
        </w:tc>
        <w:tc>
          <w:tcPr>
            <w:tcW w:type="dxa" w:w="700"/>
            <w:tcMar>
              <w:top w:type="dxa" w:w="60"/>
              <w:left w:type="dxa" w:w="80"/>
              <w:bottom w:type="dxa" w:w="60"/>
              <w:right w:type="dxa" w:w="80"/>
            </w:tcMar>
            <w:vAlign w:val="center"/>
          </w:tcPr>
          <w:p>
            <w:pPr>
              <w:jc w:val="left"/>
            </w:pPr>
            <w:r>
              <w:rPr>
                <w:b w:val="false"/>
                <w:bCs w:val="false"/>
                <w:sz w:val="17"/>
                <w:szCs w:val="17"/>
              </w:rPr>
              <w:t xml:space="preserve">Q1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R-06</w:t>
            </w:r>
          </w:p>
        </w:tc>
        <w:tc>
          <w:tcPr>
            <w:tcW w:type="dxa" w:w="2300"/>
            <w:tcMar>
              <w:top w:type="dxa" w:w="60"/>
              <w:left w:type="dxa" w:w="80"/>
              <w:bottom w:type="dxa" w:w="60"/>
              <w:right w:type="dxa" w:w="80"/>
            </w:tcMar>
            <w:vAlign w:val="center"/>
          </w:tcPr>
          <w:p>
            <w:pPr>
              <w:jc w:val="left"/>
            </w:pPr>
            <w:r>
              <w:rPr>
                <w:b w:val="false"/>
                <w:bCs w:val="false"/>
                <w:sz w:val="17"/>
                <w:szCs w:val="17"/>
              </w:rPr>
              <w:t xml:space="preserve">Lost or stolen driver mobile device exposes cached credentials or customer service-location data</w:t>
            </w:r>
          </w:p>
        </w:tc>
        <w:tc>
          <w:tcPr>
            <w:tcW w:type="dxa" w:w="1600"/>
            <w:tcMar>
              <w:top w:type="dxa" w:w="60"/>
              <w:left w:type="dxa" w:w="80"/>
              <w:bottom w:type="dxa" w:w="60"/>
              <w:right w:type="dxa" w:w="80"/>
            </w:tcMar>
            <w:vAlign w:val="center"/>
          </w:tcPr>
          <w:p>
            <w:pPr>
              <w:jc w:val="left"/>
            </w:pPr>
            <w:r>
              <w:rPr>
                <w:b w:val="false"/>
                <w:bCs w:val="false"/>
                <w:sz w:val="17"/>
                <w:szCs w:val="17"/>
              </w:rPr>
              <w:t xml:space="preserve">No enforced mobile device management (MDM); devices not required to have remote wipe enabled</w:t>
            </w:r>
          </w:p>
        </w:tc>
        <w:tc>
          <w:tcPr>
            <w:tcW w:type="dxa" w:w="1300"/>
            <w:tcMar>
              <w:top w:type="dxa" w:w="60"/>
              <w:left w:type="dxa" w:w="80"/>
              <w:bottom w:type="dxa" w:w="60"/>
              <w:right w:type="dxa" w:w="80"/>
            </w:tcMar>
            <w:vAlign w:val="center"/>
          </w:tcPr>
          <w:p>
            <w:pPr>
              <w:jc w:val="left"/>
            </w:pPr>
            <w:r>
              <w:rPr>
                <w:b w:val="false"/>
                <w:bCs w:val="false"/>
                <w:sz w:val="17"/>
                <w:szCs w:val="17"/>
              </w:rPr>
              <w:t xml:space="preserve">A-04 Driver Mobile App</w:t>
            </w:r>
          </w:p>
        </w:tc>
        <w:tc>
          <w:tcPr>
            <w:tcW w:type="dxa" w:w="700"/>
            <w:tcMar>
              <w:top w:type="dxa" w:w="60"/>
              <w:left w:type="dxa" w:w="80"/>
              <w:bottom w:type="dxa" w:w="60"/>
              <w:right w:type="dxa" w:w="80"/>
            </w:tcMar>
            <w:vAlign w:val="center"/>
          </w:tcPr>
          <w:p>
            <w:pPr>
              <w:jc w:val="left"/>
            </w:pPr>
            <w:r>
              <w:rPr>
                <w:b w:val="false"/>
                <w:bCs w:val="false"/>
                <w:sz w:val="17"/>
                <w:szCs w:val="17"/>
              </w:rPr>
              <w:t xml:space="preserve">12</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600"/>
            <w:tcMar>
              <w:top w:type="dxa" w:w="60"/>
              <w:left w:type="dxa" w:w="80"/>
              <w:bottom w:type="dxa" w:w="60"/>
              <w:right w:type="dxa" w:w="80"/>
            </w:tcMar>
            <w:vAlign w:val="center"/>
          </w:tcPr>
          <w:p>
            <w:pPr>
              <w:jc w:val="left"/>
            </w:pPr>
            <w:r>
              <w:rPr>
                <w:b w:val="false"/>
                <w:bCs w:val="false"/>
                <w:sz w:val="17"/>
                <w:szCs w:val="17"/>
              </w:rPr>
              <w:t xml:space="preserve">App requires PIN on open; no remote wipe or MDM enrollment enforced</w:t>
            </w:r>
          </w:p>
        </w:tc>
        <w:tc>
          <w:tcPr>
            <w:tcW w:type="dxa" w:w="700"/>
            <w:tcMar>
              <w:top w:type="dxa" w:w="60"/>
              <w:left w:type="dxa" w:w="80"/>
              <w:bottom w:type="dxa" w:w="60"/>
              <w:right w:type="dxa" w:w="80"/>
            </w:tcMar>
            <w:vAlign w:val="center"/>
          </w:tcPr>
          <w:p>
            <w:pPr>
              <w:jc w:val="left"/>
            </w:pPr>
            <w:r>
              <w:rPr>
                <w:b w:val="false"/>
                <w:bCs w:val="false"/>
                <w:sz w:val="17"/>
                <w:szCs w:val="17"/>
              </w:rPr>
              <w:t xml:space="preserve">6</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Fleet Operations Mgr</w:t>
            </w:r>
          </w:p>
        </w:tc>
        <w:tc>
          <w:tcPr>
            <w:tcW w:type="dxa" w:w="700"/>
            <w:tcMar>
              <w:top w:type="dxa" w:w="60"/>
              <w:left w:type="dxa" w:w="80"/>
              <w:bottom w:type="dxa" w:w="60"/>
              <w:right w:type="dxa" w:w="80"/>
            </w:tcMar>
            <w:vAlign w:val="center"/>
          </w:tcPr>
          <w:p>
            <w:pPr>
              <w:jc w:val="left"/>
            </w:pPr>
            <w:r>
              <w:rPr>
                <w:b w:val="false"/>
                <w:bCs w:val="false"/>
                <w:sz w:val="17"/>
                <w:szCs w:val="17"/>
              </w:rPr>
              <w:t xml:space="preserve">Q3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R-07</w:t>
            </w:r>
          </w:p>
        </w:tc>
        <w:tc>
          <w:tcPr>
            <w:tcW w:type="dxa" w:w="2300"/>
            <w:tcMar>
              <w:top w:type="dxa" w:w="60"/>
              <w:left w:type="dxa" w:w="80"/>
              <w:bottom w:type="dxa" w:w="60"/>
              <w:right w:type="dxa" w:w="80"/>
            </w:tcMar>
            <w:vAlign w:val="center"/>
          </w:tcPr>
          <w:p>
            <w:pPr>
              <w:jc w:val="left"/>
            </w:pPr>
            <w:r>
              <w:rPr>
                <w:b w:val="false"/>
                <w:bCs w:val="false"/>
                <w:sz w:val="17"/>
                <w:szCs w:val="17"/>
              </w:rPr>
              <w:t xml:space="preserve">Weak depot guest Wi-Fi security allows an attacker on-site to reach internal systems</w:t>
            </w:r>
          </w:p>
        </w:tc>
        <w:tc>
          <w:tcPr>
            <w:tcW w:type="dxa" w:w="1600"/>
            <w:tcMar>
              <w:top w:type="dxa" w:w="60"/>
              <w:left w:type="dxa" w:w="80"/>
              <w:bottom w:type="dxa" w:w="60"/>
              <w:right w:type="dxa" w:w="80"/>
            </w:tcMar>
            <w:vAlign w:val="center"/>
          </w:tcPr>
          <w:p>
            <w:pPr>
              <w:jc w:val="left"/>
            </w:pPr>
            <w:r>
              <w:rPr>
                <w:b w:val="false"/>
                <w:bCs w:val="false"/>
                <w:sz w:val="17"/>
                <w:szCs w:val="17"/>
              </w:rPr>
              <w:t xml:space="preserve">Guest and staff Wi-Fi share a VLAN at two of six depots (legacy hardware)</w:t>
            </w:r>
          </w:p>
        </w:tc>
        <w:tc>
          <w:tcPr>
            <w:tcW w:type="dxa" w:w="1300"/>
            <w:tcMar>
              <w:top w:type="dxa" w:w="60"/>
              <w:left w:type="dxa" w:w="80"/>
              <w:bottom w:type="dxa" w:w="60"/>
              <w:right w:type="dxa" w:w="80"/>
            </w:tcMar>
            <w:vAlign w:val="center"/>
          </w:tcPr>
          <w:p>
            <w:pPr>
              <w:jc w:val="left"/>
            </w:pPr>
            <w:r>
              <w:rPr>
                <w:b w:val="false"/>
                <w:bCs w:val="false"/>
                <w:sz w:val="17"/>
                <w:szCs w:val="17"/>
              </w:rPr>
              <w:t xml:space="preserve">A-08 Depot Wi-Fi Networks</w:t>
            </w:r>
          </w:p>
        </w:tc>
        <w:tc>
          <w:tcPr>
            <w:tcW w:type="dxa" w:w="700"/>
            <w:tcMar>
              <w:top w:type="dxa" w:w="60"/>
              <w:left w:type="dxa" w:w="80"/>
              <w:bottom w:type="dxa" w:w="60"/>
              <w:right w:type="dxa" w:w="80"/>
            </w:tcMar>
            <w:vAlign w:val="center"/>
          </w:tcPr>
          <w:p>
            <w:pPr>
              <w:jc w:val="left"/>
            </w:pPr>
            <w:r>
              <w:rPr>
                <w:b w:val="false"/>
                <w:bCs w:val="false"/>
                <w:sz w:val="17"/>
                <w:szCs w:val="17"/>
              </w:rPr>
              <w:t xml:space="preserve">9</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600"/>
            <w:tcMar>
              <w:top w:type="dxa" w:w="60"/>
              <w:left w:type="dxa" w:w="80"/>
              <w:bottom w:type="dxa" w:w="60"/>
              <w:right w:type="dxa" w:w="80"/>
            </w:tcMar>
            <w:vAlign w:val="center"/>
          </w:tcPr>
          <w:p>
            <w:pPr>
              <w:jc w:val="left"/>
            </w:pPr>
            <w:r>
              <w:rPr>
                <w:b w:val="false"/>
                <w:bCs w:val="false"/>
                <w:sz w:val="17"/>
                <w:szCs w:val="17"/>
              </w:rPr>
              <w:t xml:space="preserve">WPA2 in use; guest network exists but VLAN separation incomplete at 2 of 6 sites</w:t>
            </w:r>
          </w:p>
        </w:tc>
        <w:tc>
          <w:tcPr>
            <w:tcW w:type="dxa" w:w="700"/>
            <w:tcMar>
              <w:top w:type="dxa" w:w="60"/>
              <w:left w:type="dxa" w:w="80"/>
              <w:bottom w:type="dxa" w:w="60"/>
              <w:right w:type="dxa" w:w="80"/>
            </w:tcMar>
            <w:vAlign w:val="center"/>
          </w:tcPr>
          <w:p>
            <w:pPr>
              <w:jc w:val="left"/>
            </w:pPr>
            <w:r>
              <w:rPr>
                <w:b w:val="false"/>
                <w:bCs w:val="false"/>
                <w:sz w:val="17"/>
                <w:szCs w:val="17"/>
              </w:rPr>
              <w:t xml:space="preserve">6</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IT Manager</w:t>
            </w:r>
          </w:p>
        </w:tc>
        <w:tc>
          <w:tcPr>
            <w:tcW w:type="dxa" w:w="700"/>
            <w:tcMar>
              <w:top w:type="dxa" w:w="60"/>
              <w:left w:type="dxa" w:w="80"/>
              <w:bottom w:type="dxa" w:w="60"/>
              <w:right w:type="dxa" w:w="80"/>
            </w:tcMar>
            <w:vAlign w:val="center"/>
          </w:tcPr>
          <w:p>
            <w:pPr>
              <w:jc w:val="left"/>
            </w:pPr>
            <w:r>
              <w:rPr>
                <w:b w:val="false"/>
                <w:bCs w:val="false"/>
                <w:sz w:val="17"/>
                <w:szCs w:val="17"/>
              </w:rPr>
              <w:t xml:space="preserve">Q3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R-08</w:t>
            </w:r>
          </w:p>
        </w:tc>
        <w:tc>
          <w:tcPr>
            <w:tcW w:type="dxa" w:w="2300"/>
            <w:tcMar>
              <w:top w:type="dxa" w:w="60"/>
              <w:left w:type="dxa" w:w="80"/>
              <w:bottom w:type="dxa" w:w="60"/>
              <w:right w:type="dxa" w:w="80"/>
            </w:tcMar>
            <w:vAlign w:val="center"/>
          </w:tcPr>
          <w:p>
            <w:pPr>
              <w:jc w:val="left"/>
            </w:pPr>
            <w:r>
              <w:rPr>
                <w:b w:val="false"/>
                <w:bCs w:val="false"/>
                <w:sz w:val="17"/>
                <w:szCs w:val="17"/>
              </w:rPr>
              <w:t xml:space="preserve">Cloud data warehouse misconfiguration exposes environmental/compliance data externally</w:t>
            </w:r>
          </w:p>
        </w:tc>
        <w:tc>
          <w:tcPr>
            <w:tcW w:type="dxa" w:w="1600"/>
            <w:tcMar>
              <w:top w:type="dxa" w:w="60"/>
              <w:left w:type="dxa" w:w="80"/>
              <w:bottom w:type="dxa" w:w="60"/>
              <w:right w:type="dxa" w:w="80"/>
            </w:tcMar>
            <w:vAlign w:val="center"/>
          </w:tcPr>
          <w:p>
            <w:pPr>
              <w:jc w:val="left"/>
            </w:pPr>
            <w:r>
              <w:rPr>
                <w:b w:val="false"/>
                <w:bCs w:val="false"/>
                <w:sz w:val="17"/>
                <w:szCs w:val="17"/>
              </w:rPr>
              <w:t xml:space="preserve">No automated cloud security posture monitoring; access reviews are manual and infrequent</w:t>
            </w:r>
          </w:p>
        </w:tc>
        <w:tc>
          <w:tcPr>
            <w:tcW w:type="dxa" w:w="1300"/>
            <w:tcMar>
              <w:top w:type="dxa" w:w="60"/>
              <w:left w:type="dxa" w:w="80"/>
              <w:bottom w:type="dxa" w:w="60"/>
              <w:right w:type="dxa" w:w="80"/>
            </w:tcMar>
            <w:vAlign w:val="center"/>
          </w:tcPr>
          <w:p>
            <w:pPr>
              <w:jc w:val="left"/>
            </w:pPr>
            <w:r>
              <w:rPr>
                <w:b w:val="false"/>
                <w:bCs w:val="false"/>
                <w:sz w:val="17"/>
                <w:szCs w:val="17"/>
              </w:rPr>
              <w:t xml:space="preserve">A-09 Compliance Data Warehouse</w:t>
            </w:r>
          </w:p>
        </w:tc>
        <w:tc>
          <w:tcPr>
            <w:tcW w:type="dxa" w:w="700"/>
            <w:tcMar>
              <w:top w:type="dxa" w:w="60"/>
              <w:left w:type="dxa" w:w="80"/>
              <w:bottom w:type="dxa" w:w="60"/>
              <w:right w:type="dxa" w:w="80"/>
            </w:tcMar>
            <w:vAlign w:val="center"/>
          </w:tcPr>
          <w:p>
            <w:pPr>
              <w:jc w:val="left"/>
            </w:pPr>
            <w:r>
              <w:rPr>
                <w:b w:val="false"/>
                <w:bCs w:val="false"/>
                <w:sz w:val="17"/>
                <w:szCs w:val="17"/>
              </w:rPr>
              <w:t xml:space="preserve">8</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600"/>
            <w:tcMar>
              <w:top w:type="dxa" w:w="60"/>
              <w:left w:type="dxa" w:w="80"/>
              <w:bottom w:type="dxa" w:w="60"/>
              <w:right w:type="dxa" w:w="80"/>
            </w:tcMar>
            <w:vAlign w:val="center"/>
          </w:tcPr>
          <w:p>
            <w:pPr>
              <w:jc w:val="left"/>
            </w:pPr>
            <w:r>
              <w:rPr>
                <w:b w:val="false"/>
                <w:bCs w:val="false"/>
                <w:sz w:val="17"/>
                <w:szCs w:val="17"/>
              </w:rPr>
              <w:t xml:space="preserve">Access restricted to Compliance team by default; no automated misconfiguration scanning</w:t>
            </w:r>
          </w:p>
        </w:tc>
        <w:tc>
          <w:tcPr>
            <w:tcW w:type="dxa" w:w="700"/>
            <w:tcMar>
              <w:top w:type="dxa" w:w="60"/>
              <w:left w:type="dxa" w:w="80"/>
              <w:bottom w:type="dxa" w:w="60"/>
              <w:right w:type="dxa" w:w="80"/>
            </w:tcMar>
            <w:vAlign w:val="center"/>
          </w:tcPr>
          <w:p>
            <w:pPr>
              <w:jc w:val="left"/>
            </w:pPr>
            <w:r>
              <w:rPr>
                <w:b w:val="false"/>
                <w:bCs w:val="false"/>
                <w:sz w:val="17"/>
                <w:szCs w:val="17"/>
              </w:rPr>
              <w:t xml:space="preserve">6</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IT Manager / Compliance Officer</w:t>
            </w:r>
          </w:p>
        </w:tc>
        <w:tc>
          <w:tcPr>
            <w:tcW w:type="dxa" w:w="700"/>
            <w:tcMar>
              <w:top w:type="dxa" w:w="60"/>
              <w:left w:type="dxa" w:w="80"/>
              <w:bottom w:type="dxa" w:w="60"/>
              <w:right w:type="dxa" w:w="80"/>
            </w:tcMar>
            <w:vAlign w:val="center"/>
          </w:tcPr>
          <w:p>
            <w:pPr>
              <w:jc w:val="left"/>
            </w:pPr>
            <w:r>
              <w:rPr>
                <w:b w:val="false"/>
                <w:bCs w:val="false"/>
                <w:sz w:val="17"/>
                <w:szCs w:val="17"/>
              </w:rPr>
              <w:t xml:space="preserve">Q2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R-09</w:t>
            </w:r>
          </w:p>
        </w:tc>
        <w:tc>
          <w:tcPr>
            <w:tcW w:type="dxa" w:w="2300"/>
            <w:tcMar>
              <w:top w:type="dxa" w:w="60"/>
              <w:left w:type="dxa" w:w="80"/>
              <w:bottom w:type="dxa" w:w="60"/>
              <w:right w:type="dxa" w:w="80"/>
            </w:tcMar>
            <w:vAlign w:val="center"/>
          </w:tcPr>
          <w:p>
            <w:pPr>
              <w:jc w:val="left"/>
            </w:pPr>
            <w:r>
              <w:rPr>
                <w:b w:val="false"/>
                <w:bCs w:val="false"/>
                <w:sz w:val="17"/>
                <w:szCs w:val="17"/>
              </w:rPr>
              <w:t xml:space="preserve">HR/Payroll SaaS breach exposes employee PII and banking details</w:t>
            </w:r>
          </w:p>
        </w:tc>
        <w:tc>
          <w:tcPr>
            <w:tcW w:type="dxa" w:w="1600"/>
            <w:tcMar>
              <w:top w:type="dxa" w:w="60"/>
              <w:left w:type="dxa" w:w="80"/>
              <w:bottom w:type="dxa" w:w="60"/>
              <w:right w:type="dxa" w:w="80"/>
            </w:tcMar>
            <w:vAlign w:val="center"/>
          </w:tcPr>
          <w:p>
            <w:pPr>
              <w:jc w:val="left"/>
            </w:pPr>
            <w:r>
              <w:rPr>
                <w:b w:val="false"/>
                <w:bCs w:val="false"/>
                <w:sz w:val="17"/>
                <w:szCs w:val="17"/>
              </w:rPr>
              <w:t xml:space="preserve">Single sign-on not enforced for the HR platform; standing admin accounts not regularly reviewed</w:t>
            </w:r>
          </w:p>
        </w:tc>
        <w:tc>
          <w:tcPr>
            <w:tcW w:type="dxa" w:w="1300"/>
            <w:tcMar>
              <w:top w:type="dxa" w:w="60"/>
              <w:left w:type="dxa" w:w="80"/>
              <w:bottom w:type="dxa" w:w="60"/>
              <w:right w:type="dxa" w:w="80"/>
            </w:tcMar>
            <w:vAlign w:val="center"/>
          </w:tcPr>
          <w:p>
            <w:pPr>
              <w:jc w:val="left"/>
            </w:pPr>
            <w:r>
              <w:rPr>
                <w:b w:val="false"/>
                <w:bCs w:val="false"/>
                <w:sz w:val="17"/>
                <w:szCs w:val="17"/>
              </w:rPr>
              <w:t xml:space="preserve">A-06 HR/Payroll System</w:t>
            </w:r>
          </w:p>
        </w:tc>
        <w:tc>
          <w:tcPr>
            <w:tcW w:type="dxa" w:w="700"/>
            <w:tcMar>
              <w:top w:type="dxa" w:w="60"/>
              <w:left w:type="dxa" w:w="80"/>
              <w:bottom w:type="dxa" w:w="60"/>
              <w:right w:type="dxa" w:w="80"/>
            </w:tcMar>
            <w:vAlign w:val="center"/>
          </w:tcPr>
          <w:p>
            <w:pPr>
              <w:jc w:val="left"/>
            </w:pPr>
            <w:r>
              <w:rPr>
                <w:b w:val="false"/>
                <w:bCs w:val="false"/>
                <w:sz w:val="17"/>
                <w:szCs w:val="17"/>
              </w:rPr>
              <w:t xml:space="preserve">10</w:t>
            </w:r>
          </w:p>
        </w:tc>
        <w:tc>
          <w:tcPr>
            <w:tcW w:type="dxa" w:w="700"/>
            <w:shd w:fill="FFC7A0" w:color="auto" w:val="clear"/>
            <w:tcMar>
              <w:top w:type="dxa" w:w="60"/>
              <w:left w:type="dxa" w:w="80"/>
              <w:bottom w:type="dxa" w:w="60"/>
              <w:right w:type="dxa" w:w="80"/>
            </w:tcMar>
            <w:vAlign w:val="center"/>
          </w:tcPr>
          <w:p>
            <w:pPr>
              <w:jc w:val="left"/>
            </w:pPr>
            <w:r>
              <w:rPr>
                <w:b/>
                <w:bCs/>
                <w:sz w:val="17"/>
                <w:szCs w:val="17"/>
              </w:rPr>
              <w:t xml:space="preserve">High</w:t>
            </w:r>
          </w:p>
        </w:tc>
        <w:tc>
          <w:tcPr>
            <w:tcW w:type="dxa" w:w="1600"/>
            <w:tcMar>
              <w:top w:type="dxa" w:w="60"/>
              <w:left w:type="dxa" w:w="80"/>
              <w:bottom w:type="dxa" w:w="60"/>
              <w:right w:type="dxa" w:w="80"/>
            </w:tcMar>
            <w:vAlign w:val="center"/>
          </w:tcPr>
          <w:p>
            <w:pPr>
              <w:jc w:val="left"/>
            </w:pPr>
            <w:r>
              <w:rPr>
                <w:b w:val="false"/>
                <w:bCs w:val="false"/>
                <w:sz w:val="17"/>
                <w:szCs w:val="17"/>
              </w:rPr>
              <w:t xml:space="preserve">Vendor holds SOC 2 Type II; encrypted at rest per vendor attestation</w:t>
            </w:r>
          </w:p>
        </w:tc>
        <w:tc>
          <w:tcPr>
            <w:tcW w:type="dxa" w:w="700"/>
            <w:tcMar>
              <w:top w:type="dxa" w:w="60"/>
              <w:left w:type="dxa" w:w="80"/>
              <w:bottom w:type="dxa" w:w="60"/>
              <w:right w:type="dxa" w:w="80"/>
            </w:tcMar>
            <w:vAlign w:val="center"/>
          </w:tcPr>
          <w:p>
            <w:pPr>
              <w:jc w:val="left"/>
            </w:pPr>
            <w:r>
              <w:rPr>
                <w:b w:val="false"/>
                <w:bCs w:val="false"/>
                <w:sz w:val="17"/>
                <w:szCs w:val="17"/>
              </w:rPr>
              <w:t xml:space="preserve">4</w:t>
            </w:r>
          </w:p>
        </w:tc>
        <w:tc>
          <w:tcPr>
            <w:tcW w:type="dxa" w:w="700"/>
            <w:shd w:fill="C6EFCE" w:color="auto" w:val="clear"/>
            <w:tcMar>
              <w:top w:type="dxa" w:w="60"/>
              <w:left w:type="dxa" w:w="80"/>
              <w:bottom w:type="dxa" w:w="60"/>
              <w:right w:type="dxa" w:w="80"/>
            </w:tcMar>
            <w:vAlign w:val="center"/>
          </w:tcPr>
          <w:p>
            <w:pPr>
              <w:jc w:val="left"/>
            </w:pPr>
            <w:r>
              <w:rPr>
                <w:b/>
                <w:bCs/>
                <w:sz w:val="17"/>
                <w:szCs w:val="17"/>
              </w:rPr>
              <w:t xml:space="preserve">Low</w:t>
            </w:r>
          </w:p>
        </w:tc>
        <w:tc>
          <w:tcPr>
            <w:tcW w:type="dxa" w:w="1200"/>
            <w:tcMar>
              <w:top w:type="dxa" w:w="60"/>
              <w:left w:type="dxa" w:w="80"/>
              <w:bottom w:type="dxa" w:w="60"/>
              <w:right w:type="dxa" w:w="80"/>
            </w:tcMar>
            <w:vAlign w:val="center"/>
          </w:tcPr>
          <w:p>
            <w:pPr>
              <w:jc w:val="left"/>
            </w:pPr>
            <w:r>
              <w:rPr>
                <w:b w:val="false"/>
                <w:bCs w:val="false"/>
                <w:sz w:val="17"/>
                <w:szCs w:val="17"/>
              </w:rPr>
              <w:t xml:space="preserve">Mitigate</w:t>
            </w:r>
          </w:p>
        </w:tc>
        <w:tc>
          <w:tcPr>
            <w:tcW w:type="dxa" w:w="1060"/>
            <w:tcMar>
              <w:top w:type="dxa" w:w="60"/>
              <w:left w:type="dxa" w:w="80"/>
              <w:bottom w:type="dxa" w:w="60"/>
              <w:right w:type="dxa" w:w="80"/>
            </w:tcMar>
            <w:vAlign w:val="center"/>
          </w:tcPr>
          <w:p>
            <w:pPr>
              <w:jc w:val="left"/>
            </w:pPr>
            <w:r>
              <w:rPr>
                <w:b w:val="false"/>
                <w:bCs w:val="false"/>
                <w:sz w:val="17"/>
                <w:szCs w:val="17"/>
              </w:rPr>
              <w:t xml:space="preserve">HR Director</w:t>
            </w:r>
          </w:p>
        </w:tc>
        <w:tc>
          <w:tcPr>
            <w:tcW w:type="dxa" w:w="700"/>
            <w:tcMar>
              <w:top w:type="dxa" w:w="60"/>
              <w:left w:type="dxa" w:w="80"/>
              <w:bottom w:type="dxa" w:w="60"/>
              <w:right w:type="dxa" w:w="80"/>
            </w:tcMar>
            <w:vAlign w:val="center"/>
          </w:tcPr>
          <w:p>
            <w:pPr>
              <w:jc w:val="left"/>
            </w:pPr>
            <w:r>
              <w:rPr>
                <w:b w:val="false"/>
                <w:bCs w:val="false"/>
                <w:sz w:val="17"/>
                <w:szCs w:val="17"/>
              </w:rPr>
              <w:t xml:space="preserve">Q2 2027</w:t>
            </w:r>
          </w:p>
        </w:tc>
      </w:tr>
      <w:tr>
        <w:tc>
          <w:tcPr>
            <w:tcW w:type="dxa" w:w="400"/>
            <w:tcMar>
              <w:top w:type="dxa" w:w="60"/>
              <w:left w:type="dxa" w:w="80"/>
              <w:bottom w:type="dxa" w:w="60"/>
              <w:right w:type="dxa" w:w="80"/>
            </w:tcMar>
            <w:vAlign w:val="center"/>
          </w:tcPr>
          <w:p>
            <w:pPr>
              <w:jc w:val="left"/>
            </w:pPr>
            <w:r>
              <w:rPr>
                <w:b w:val="false"/>
                <w:bCs w:val="false"/>
                <w:sz w:val="17"/>
                <w:szCs w:val="17"/>
              </w:rPr>
              <w:t xml:space="preserve">R-10</w:t>
            </w:r>
          </w:p>
        </w:tc>
        <w:tc>
          <w:tcPr>
            <w:tcW w:type="dxa" w:w="2300"/>
            <w:tcMar>
              <w:top w:type="dxa" w:w="60"/>
              <w:left w:type="dxa" w:w="80"/>
              <w:bottom w:type="dxa" w:w="60"/>
              <w:right w:type="dxa" w:w="80"/>
            </w:tcMar>
            <w:vAlign w:val="center"/>
          </w:tcPr>
          <w:p>
            <w:pPr>
              <w:jc w:val="left"/>
            </w:pPr>
            <w:r>
              <w:rPr>
                <w:b w:val="false"/>
                <w:bCs w:val="false"/>
                <w:sz w:val="17"/>
                <w:szCs w:val="17"/>
              </w:rPr>
              <w:t xml:space="preserve">DDoS against customer billing portal during month-end billing cycle disrupts payment collection</w:t>
            </w:r>
          </w:p>
        </w:tc>
        <w:tc>
          <w:tcPr>
            <w:tcW w:type="dxa" w:w="1600"/>
            <w:tcMar>
              <w:top w:type="dxa" w:w="60"/>
              <w:left w:type="dxa" w:w="80"/>
              <w:bottom w:type="dxa" w:w="60"/>
              <w:right w:type="dxa" w:w="80"/>
            </w:tcMar>
            <w:vAlign w:val="center"/>
          </w:tcPr>
          <w:p>
            <w:pPr>
              <w:jc w:val="left"/>
            </w:pPr>
            <w:r>
              <w:rPr>
                <w:b w:val="false"/>
                <w:bCs w:val="false"/>
                <w:sz w:val="17"/>
                <w:szCs w:val="17"/>
              </w:rPr>
              <w:t xml:space="preserve">No CDN/DDoS mitigation service in front of the portal</w:t>
            </w:r>
          </w:p>
        </w:tc>
        <w:tc>
          <w:tcPr>
            <w:tcW w:type="dxa" w:w="1300"/>
            <w:tcMar>
              <w:top w:type="dxa" w:w="60"/>
              <w:left w:type="dxa" w:w="80"/>
              <w:bottom w:type="dxa" w:w="60"/>
              <w:right w:type="dxa" w:w="80"/>
            </w:tcMar>
            <w:vAlign w:val="center"/>
          </w:tcPr>
          <w:p>
            <w:pPr>
              <w:jc w:val="left"/>
            </w:pPr>
            <w:r>
              <w:rPr>
                <w:b w:val="false"/>
                <w:bCs w:val="false"/>
                <w:sz w:val="17"/>
                <w:szCs w:val="17"/>
              </w:rPr>
              <w:t xml:space="preserve">A-03 Customer Billing Portal</w:t>
            </w:r>
          </w:p>
        </w:tc>
        <w:tc>
          <w:tcPr>
            <w:tcW w:type="dxa" w:w="700"/>
            <w:tcMar>
              <w:top w:type="dxa" w:w="60"/>
              <w:left w:type="dxa" w:w="80"/>
              <w:bottom w:type="dxa" w:w="60"/>
              <w:right w:type="dxa" w:w="80"/>
            </w:tcMar>
            <w:vAlign w:val="center"/>
          </w:tcPr>
          <w:p>
            <w:pPr>
              <w:jc w:val="left"/>
            </w:pPr>
            <w:r>
              <w:rPr>
                <w:b w:val="false"/>
                <w:bCs w:val="false"/>
                <w:sz w:val="17"/>
                <w:szCs w:val="17"/>
              </w:rPr>
              <w:t xml:space="preserve">6</w:t>
            </w:r>
          </w:p>
        </w:tc>
        <w:tc>
          <w:tcPr>
            <w:tcW w:type="dxa" w:w="700"/>
            <w:shd w:fill="FFEB9C" w:color="auto" w:val="clear"/>
            <w:tcMar>
              <w:top w:type="dxa" w:w="60"/>
              <w:left w:type="dxa" w:w="80"/>
              <w:bottom w:type="dxa" w:w="60"/>
              <w:right w:type="dxa" w:w="80"/>
            </w:tcMar>
            <w:vAlign w:val="center"/>
          </w:tcPr>
          <w:p>
            <w:pPr>
              <w:jc w:val="left"/>
            </w:pPr>
            <w:r>
              <w:rPr>
                <w:b/>
                <w:bCs/>
                <w:sz w:val="17"/>
                <w:szCs w:val="17"/>
              </w:rPr>
              <w:t xml:space="preserve">Medium</w:t>
            </w:r>
          </w:p>
        </w:tc>
        <w:tc>
          <w:tcPr>
            <w:tcW w:type="dxa" w:w="1600"/>
            <w:tcMar>
              <w:top w:type="dxa" w:w="60"/>
              <w:left w:type="dxa" w:w="80"/>
              <w:bottom w:type="dxa" w:w="60"/>
              <w:right w:type="dxa" w:w="80"/>
            </w:tcMar>
            <w:vAlign w:val="center"/>
          </w:tcPr>
          <w:p>
            <w:pPr>
              <w:jc w:val="left"/>
            </w:pPr>
            <w:r>
              <w:rPr>
                <w:b w:val="false"/>
                <w:bCs w:val="false"/>
                <w:sz w:val="17"/>
                <w:szCs w:val="17"/>
              </w:rPr>
              <w:t xml:space="preserve">Cloud host provides basic infrastructure-level protection only</w:t>
            </w:r>
          </w:p>
        </w:tc>
        <w:tc>
          <w:tcPr>
            <w:tcW w:type="dxa" w:w="700"/>
            <w:tcMar>
              <w:top w:type="dxa" w:w="60"/>
              <w:left w:type="dxa" w:w="80"/>
              <w:bottom w:type="dxa" w:w="60"/>
              <w:right w:type="dxa" w:w="80"/>
            </w:tcMar>
            <w:vAlign w:val="center"/>
          </w:tcPr>
          <w:p>
            <w:pPr>
              <w:jc w:val="left"/>
            </w:pPr>
            <w:r>
              <w:rPr>
                <w:b w:val="false"/>
                <w:bCs w:val="false"/>
                <w:sz w:val="17"/>
                <w:szCs w:val="17"/>
              </w:rPr>
              <w:t xml:space="preserve">4</w:t>
            </w:r>
          </w:p>
        </w:tc>
        <w:tc>
          <w:tcPr>
            <w:tcW w:type="dxa" w:w="700"/>
            <w:shd w:fill="C6EFCE" w:color="auto" w:val="clear"/>
            <w:tcMar>
              <w:top w:type="dxa" w:w="60"/>
              <w:left w:type="dxa" w:w="80"/>
              <w:bottom w:type="dxa" w:w="60"/>
              <w:right w:type="dxa" w:w="80"/>
            </w:tcMar>
            <w:vAlign w:val="center"/>
          </w:tcPr>
          <w:p>
            <w:pPr>
              <w:jc w:val="left"/>
            </w:pPr>
            <w:r>
              <w:rPr>
                <w:b/>
                <w:bCs/>
                <w:sz w:val="17"/>
                <w:szCs w:val="17"/>
              </w:rPr>
              <w:t xml:space="preserve">Low</w:t>
            </w:r>
          </w:p>
        </w:tc>
        <w:tc>
          <w:tcPr>
            <w:tcW w:type="dxa" w:w="1200"/>
            <w:tcMar>
              <w:top w:type="dxa" w:w="60"/>
              <w:left w:type="dxa" w:w="80"/>
              <w:bottom w:type="dxa" w:w="60"/>
              <w:right w:type="dxa" w:w="80"/>
            </w:tcMar>
            <w:vAlign w:val="center"/>
          </w:tcPr>
          <w:p>
            <w:pPr>
              <w:jc w:val="left"/>
            </w:pPr>
            <w:r>
              <w:rPr>
                <w:b w:val="false"/>
                <w:bCs w:val="false"/>
                <w:sz w:val="17"/>
                <w:szCs w:val="17"/>
              </w:rPr>
              <w:t xml:space="preserve">Accept (residual risk within appetite; revisit if traffic profile changes)</w:t>
            </w:r>
          </w:p>
        </w:tc>
        <w:tc>
          <w:tcPr>
            <w:tcW w:type="dxa" w:w="1060"/>
            <w:tcMar>
              <w:top w:type="dxa" w:w="60"/>
              <w:left w:type="dxa" w:w="80"/>
              <w:bottom w:type="dxa" w:w="60"/>
              <w:right w:type="dxa" w:w="80"/>
            </w:tcMar>
            <w:vAlign w:val="center"/>
          </w:tcPr>
          <w:p>
            <w:pPr>
              <w:jc w:val="left"/>
            </w:pPr>
            <w:r>
              <w:rPr>
                <w:b w:val="false"/>
                <w:bCs w:val="false"/>
                <w:sz w:val="17"/>
                <w:szCs w:val="17"/>
              </w:rPr>
              <w:t xml:space="preserve">IT Manager</w:t>
            </w:r>
          </w:p>
        </w:tc>
        <w:tc>
          <w:tcPr>
            <w:tcW w:type="dxa" w:w="700"/>
            <w:tcMar>
              <w:top w:type="dxa" w:w="60"/>
              <w:left w:type="dxa" w:w="80"/>
              <w:bottom w:type="dxa" w:w="60"/>
              <w:right w:type="dxa" w:w="80"/>
            </w:tcMar>
            <w:vAlign w:val="center"/>
          </w:tcPr>
          <w:p>
            <w:pPr>
              <w:jc w:val="left"/>
            </w:pPr>
            <w:r>
              <w:rPr>
                <w:b w:val="false"/>
                <w:bCs w:val="false"/>
                <w:sz w:val="17"/>
                <w:szCs w:val="17"/>
              </w:rPr>
              <w:t xml:space="preserve">Monitor</w:t>
            </w:r>
          </w:p>
        </w:tc>
      </w:tr>
    </w:tbl>
    <w:p>
      <w:pPr>
        <w:sectPr>
          <w:pgSz w:w="15840" w:h="12240" w:orient="landscape"/>
          <w:pgMar w:top="1440" w:right="1440" w:bottom="1440" w:left="1440" w:header="708" w:footer="708" w:gutter="0"/>
          <w:pgNumType/>
          <w:docGrid w:linePitch="360"/>
        </w:sectPr>
      </w:pPr>
    </w:p>
    <w:p>
      <w:pPr>
        <w:pStyle w:val="Heading1"/>
        <w:spacing w:after="200" w:before="400"/>
      </w:pPr>
      <w:r>
        <w:t xml:space="preserve">5. Security Policy Framework — Mapped to NIST CSF</w:t>
      </w:r>
    </w:p>
    <w:p>
      <w:pPr>
        <w:spacing w:after="120"/>
      </w:pPr>
      <w:r>
        <w:t xml:space="preserve">The following policies directly address the gaps identified in Section 4’s risk register. Each is tagged with the specific NIST CSF Category it implements and the risk ID(s) it mitigates.</w:t>
      </w:r>
    </w:p>
    <w:p>
      <w:pPr>
        <w:pStyle w:val="Heading2"/>
        <w:spacing w:after="150" w:before="300"/>
      </w:pPr>
      <w:r>
        <w:t xml:space="preserve">5.1 IDENTIFY (ID)</w:t>
      </w:r>
    </w:p>
    <w:p>
      <w:pPr>
        <w:pStyle w:val="ListParagraph"/>
        <w:numPr>
          <w:ilvl w:val="0"/>
          <w:numId w:val="2"/>
        </w:numPr>
        <w:spacing w:after="60"/>
      </w:pPr>
      <w:r>
        <w:t xml:space="preserve">ID.AM (Asset Management): Maintain the asset inventory in Section 2 as a living register, reviewed quarterly and after any new system procurement. [Supports all risks]</w:t>
      </w:r>
    </w:p>
    <w:p>
      <w:pPr>
        <w:pStyle w:val="ListParagraph"/>
        <w:numPr>
          <w:ilvl w:val="0"/>
          <w:numId w:val="2"/>
        </w:numPr>
        <w:spacing w:after="60"/>
      </w:pPr>
      <w:r>
        <w:t xml:space="preserve">ID.RA (Risk Assessment): Formalize this risk assessment as an annual cycle, with a lightweight interim review after any material vendor, system, or regulatory change. [Supports all risks]</w:t>
      </w:r>
    </w:p>
    <w:p>
      <w:pPr>
        <w:pStyle w:val="ListParagraph"/>
        <w:numPr>
          <w:ilvl w:val="0"/>
          <w:numId w:val="2"/>
        </w:numPr>
        <w:spacing w:after="60"/>
      </w:pPr>
      <w:r>
        <w:t xml:space="preserve">ID.GV (Governance): Designate the Compliance Officer as the accountable owner for environmental-data-integrity risk (R-03), distinct from general IT risk ownership, given its direct regulatory/licensing consequence. [R-03]</w:t>
      </w:r>
    </w:p>
    <w:p>
      <w:pPr>
        <w:pStyle w:val="ListParagraph"/>
        <w:numPr>
          <w:ilvl w:val="0"/>
          <w:numId w:val="2"/>
        </w:numPr>
        <w:spacing w:after="60"/>
      </w:pPr>
      <w:r>
        <w:t xml:space="preserve">ID.SC (Supply Chain Risk Management): Require a signed data-handling addendum and periodic security attestation from the third-party disposal facility data exchange partner(s). [R-03]</w:t>
      </w:r>
    </w:p>
    <w:p>
      <w:pPr>
        <w:pStyle w:val="Heading2"/>
        <w:spacing w:after="150" w:before="300"/>
      </w:pPr>
      <w:r>
        <w:t xml:space="preserve">5.2 PROTECT (PR)</w:t>
      </w:r>
    </w:p>
    <w:p>
      <w:pPr>
        <w:pStyle w:val="ListParagraph"/>
        <w:numPr>
          <w:ilvl w:val="0"/>
          <w:numId w:val="2"/>
        </w:numPr>
        <w:spacing w:after="60"/>
      </w:pPr>
      <w:r>
        <w:t xml:space="preserve">PR.AC (Access Control): Enforce phishing-resistant MFA on ERP/finance, HR/Payroll, and email; require dual approval for any wire transfer or vendor-banking-detail change above $10,000. [R-01, R-02, R-09]</w:t>
      </w:r>
    </w:p>
    <w:p>
      <w:pPr>
        <w:pStyle w:val="ListParagraph"/>
        <w:numPr>
          <w:ilvl w:val="0"/>
          <w:numId w:val="2"/>
        </w:numPr>
        <w:spacing w:after="60"/>
      </w:pPr>
      <w:r>
        <w:t xml:space="preserve">PR.AC (Access Control): Enroll all driver mobile devices in a mobile device management (MDM) solution with remote wipe and enforced device PIN/biometric lock. [R-06]</w:t>
      </w:r>
    </w:p>
    <w:p>
      <w:pPr>
        <w:pStyle w:val="ListParagraph"/>
        <w:numPr>
          <w:ilvl w:val="0"/>
          <w:numId w:val="2"/>
        </w:numPr>
        <w:spacing w:after="60"/>
      </w:pPr>
      <w:r>
        <w:t xml:space="preserve">PR.DS (Data Security): Segment depot guest Wi-Fi onto a physically or logically isolated VLAN with no route to internal systems, at all six depots. [R-07]</w:t>
      </w:r>
    </w:p>
    <w:p>
      <w:pPr>
        <w:pStyle w:val="ListParagraph"/>
        <w:numPr>
          <w:ilvl w:val="0"/>
          <w:numId w:val="2"/>
        </w:numPr>
        <w:spacing w:after="60"/>
      </w:pPr>
      <w:r>
        <w:t xml:space="preserve">PR.DS (Data Security): Segment the fleet telematics network (IoT) from the corporate LAN; treat all telematics traffic as untrusted at the network boundary. [R-04]</w:t>
      </w:r>
    </w:p>
    <w:p>
      <w:pPr>
        <w:pStyle w:val="ListParagraph"/>
        <w:numPr>
          <w:ilvl w:val="0"/>
          <w:numId w:val="2"/>
        </w:numPr>
        <w:spacing w:after="60"/>
      </w:pPr>
      <w:r>
        <w:t xml:space="preserve">PR.IP (Information Protection Processes): Require an independent security assessment (e.g., a focused penetration test) of the customer billing portal before its next major release, and annually thereafter. [R-05]</w:t>
      </w:r>
    </w:p>
    <w:p>
      <w:pPr>
        <w:pStyle w:val="ListParagraph"/>
        <w:numPr>
          <w:ilvl w:val="0"/>
          <w:numId w:val="2"/>
        </w:numPr>
        <w:spacing w:after="60"/>
      </w:pPr>
      <w:r>
        <w:t xml:space="preserve">PR.AT (Awareness and Training): Deliver mandatory, role-specific security-awareness training at hire and annually thereafter, with phishing-simulation exercises quarterly for finance and HR staff specifically. [R-01, R-02, R-09]</w:t>
      </w:r>
    </w:p>
    <w:p>
      <w:pPr>
        <w:pStyle w:val="Heading2"/>
        <w:spacing w:after="150" w:before="300"/>
      </w:pPr>
      <w:r>
        <w:t xml:space="preserve">5.3 DETECT (DE)</w:t>
      </w:r>
    </w:p>
    <w:p>
      <w:pPr>
        <w:pStyle w:val="ListParagraph"/>
        <w:numPr>
          <w:ilvl w:val="0"/>
          <w:numId w:val="2"/>
        </w:numPr>
        <w:spacing w:after="60"/>
      </w:pPr>
      <w:r>
        <w:t xml:space="preserve">DE.CM (Security Continuous Monitoring): Deploy automated cloud security posture monitoring on the Environmental Compliance Data Warehouse to detect misconfigurations (e.g., public access grants) in near-real time. [R-08]</w:t>
      </w:r>
    </w:p>
    <w:p>
      <w:pPr>
        <w:pStyle w:val="ListParagraph"/>
        <w:numPr>
          <w:ilvl w:val="0"/>
          <w:numId w:val="2"/>
        </w:numPr>
        <w:spacing w:after="60"/>
      </w:pPr>
      <w:r>
        <w:t xml:space="preserve">DE.CM (Security Continuous Monitoring): Implement integrity checksums and automated reconciliation on data received through the disposal facility data exchange, flagging discrepancies for review rather than relying solely on manual monthly spot-checks. [R-03]</w:t>
      </w:r>
    </w:p>
    <w:p>
      <w:pPr>
        <w:pStyle w:val="ListParagraph"/>
        <w:numPr>
          <w:ilvl w:val="0"/>
          <w:numId w:val="2"/>
        </w:numPr>
        <w:spacing w:after="60"/>
      </w:pPr>
      <w:r>
        <w:t xml:space="preserve">DE.DP (Detection Processes): Enable and centrally review sign-in and admin-activity logs for the ERP, HR/Payroll, and email platforms; alert on impossible-travel and privilege-escalation events. [R-01, R-02, R-09]</w:t>
      </w:r>
    </w:p>
    <w:p>
      <w:pPr>
        <w:pStyle w:val="Heading2"/>
        <w:spacing w:after="150" w:before="300"/>
      </w:pPr>
      <w:r>
        <w:t xml:space="preserve">5.4 RESPOND (RS)</w:t>
      </w:r>
    </w:p>
    <w:p>
      <w:pPr>
        <w:pStyle w:val="ListParagraph"/>
        <w:numPr>
          <w:ilvl w:val="0"/>
          <w:numId w:val="2"/>
        </w:numPr>
        <w:spacing w:after="60"/>
      </w:pPr>
      <w:r>
        <w:t xml:space="preserve">RS.RP (Response Planning): Maintain and annually test an incident response plan covering, at minimum, ransomware, business email compromise, and a regulatory-data-integrity incident, each with a named response lead. [R-01, R-02, R-03]</w:t>
      </w:r>
    </w:p>
    <w:p>
      <w:pPr>
        <w:pStyle w:val="ListParagraph"/>
        <w:numPr>
          <w:ilvl w:val="0"/>
          <w:numId w:val="2"/>
        </w:numPr>
        <w:spacing w:after="60"/>
      </w:pPr>
      <w:r>
        <w:t xml:space="preserve">RS.CO (Communications): Pre-define the regulatory notification process and contacts for any incident affecting environmental compliance data, given Meridian’s reporting obligations. [R-03]</w:t>
      </w:r>
    </w:p>
    <w:p>
      <w:pPr>
        <w:pStyle w:val="Heading2"/>
        <w:spacing w:after="150" w:before="300"/>
      </w:pPr>
      <w:r>
        <w:t xml:space="preserve">5.5 RECOVER (RC)</w:t>
      </w:r>
    </w:p>
    <w:p>
      <w:pPr>
        <w:pStyle w:val="ListParagraph"/>
        <w:numPr>
          <w:ilvl w:val="0"/>
          <w:numId w:val="2"/>
        </w:numPr>
        <w:spacing w:after="60"/>
      </w:pPr>
      <w:r>
        <w:t xml:space="preserve">RC.RP (Recovery Planning): Test full restoration from ERP/finance backups at least twice yearly (an untested backup is not a control) with a defined Recovery Time Objective (RTO) of 24 hours for finance systems. [R-01]</w:t>
      </w:r>
    </w:p>
    <w:p>
      <w:pPr>
        <w:pStyle w:val="ListParagraph"/>
        <w:numPr>
          <w:ilvl w:val="0"/>
          <w:numId w:val="2"/>
        </w:numPr>
        <w:spacing w:after="60"/>
      </w:pPr>
      <w:r>
        <w:t xml:space="preserve">RC.IM (Improvements): Conduct a lessons-learned review after any invoked incident response or disaster recovery event, feeding identified gaps back into Section 4 as new or updated risk entries. [Supports all risks]</w:t>
      </w:r>
    </w:p>
    <w:p>
      <w:r>
        <w:br w:type="page"/>
      </w:r>
    </w:p>
    <w:p>
      <w:pPr>
        <w:pStyle w:val="Heading1"/>
        <w:spacing w:after="200" w:before="400"/>
      </w:pPr>
      <w:r>
        <w:t xml:space="preserve">6. Prioritized Recommendations &amp; Roadmap</w:t>
      </w:r>
    </w:p>
    <w:p>
      <w:pPr>
        <w:pStyle w:val="Heading2"/>
        <w:spacing w:after="150" w:before="300"/>
      </w:pPr>
      <w:r>
        <w:t xml:space="preserve">6.1 Near-Term (0–3 months) — addresses Critical/High residual risk</w:t>
      </w:r>
    </w:p>
    <w:p>
      <w:pPr>
        <w:pStyle w:val="ListParagraph"/>
        <w:numPr>
          <w:ilvl w:val="0"/>
          <w:numId w:val="2"/>
        </w:numPr>
        <w:spacing w:after="60"/>
      </w:pPr>
      <w:r>
        <w:t xml:space="preserve">Enforce MFA + dual-approval wire transfer control on ERP/finance (R-01, R-02) — Owner: CFO/IT Manager</w:t>
      </w:r>
    </w:p>
    <w:p>
      <w:pPr>
        <w:pStyle w:val="ListParagraph"/>
        <w:numPr>
          <w:ilvl w:val="0"/>
          <w:numId w:val="2"/>
        </w:numPr>
        <w:spacing w:after="60"/>
      </w:pPr>
      <w:r>
        <w:t xml:space="preserve">Independent security assessment of the customer billing portal (R-05) — Owner: Finance Director/IT Manager</w:t>
      </w:r>
    </w:p>
    <w:p>
      <w:pPr>
        <w:pStyle w:val="ListParagraph"/>
        <w:numPr>
          <w:ilvl w:val="0"/>
          <w:numId w:val="2"/>
        </w:numPr>
        <w:spacing w:after="60"/>
      </w:pPr>
      <w:r>
        <w:t xml:space="preserve">Formalize environmental-data integrity reconciliation with automated checksums (R-03) — Owner: Compliance Officer</w:t>
      </w:r>
    </w:p>
    <w:p>
      <w:pPr>
        <w:pStyle w:val="Heading2"/>
        <w:spacing w:after="150" w:before="300"/>
      </w:pPr>
      <w:r>
        <w:t xml:space="preserve">6.2 Mid-Term (3–6 months)</w:t>
      </w:r>
    </w:p>
    <w:p>
      <w:pPr>
        <w:pStyle w:val="ListParagraph"/>
        <w:numPr>
          <w:ilvl w:val="0"/>
          <w:numId w:val="2"/>
        </w:numPr>
        <w:spacing w:after="60"/>
      </w:pPr>
      <w:r>
        <w:t xml:space="preserve">Full network segmentation: telematics IoT VLAN and depot guest Wi-Fi at remaining sites (R-04, R-07) — Owner: IT Manager</w:t>
      </w:r>
    </w:p>
    <w:p>
      <w:pPr>
        <w:pStyle w:val="ListParagraph"/>
        <w:numPr>
          <w:ilvl w:val="0"/>
          <w:numId w:val="2"/>
        </w:numPr>
        <w:spacing w:after="60"/>
      </w:pPr>
      <w:r>
        <w:t xml:space="preserve">Deploy MDM across all driver mobile devices (R-06) — Owner: Fleet Operations Manager</w:t>
      </w:r>
    </w:p>
    <w:p>
      <w:pPr>
        <w:pStyle w:val="ListParagraph"/>
        <w:numPr>
          <w:ilvl w:val="0"/>
          <w:numId w:val="2"/>
        </w:numPr>
        <w:spacing w:after="60"/>
      </w:pPr>
      <w:r>
        <w:t xml:space="preserve">Cloud security posture monitoring on the compliance data warehouse (R-08) — Owner: IT Manager/Compliance Officer</w:t>
      </w:r>
    </w:p>
    <w:p>
      <w:pPr>
        <w:pStyle w:val="ListParagraph"/>
        <w:numPr>
          <w:ilvl w:val="0"/>
          <w:numId w:val="2"/>
        </w:numPr>
        <w:spacing w:after="60"/>
      </w:pPr>
      <w:r>
        <w:t xml:space="preserve">Enforce SSO + admin account review cadence on HR/Payroll (R-09) — Owner: HR Director</w:t>
      </w:r>
    </w:p>
    <w:p>
      <w:pPr>
        <w:pStyle w:val="Heading2"/>
        <w:spacing w:after="150" w:before="300"/>
      </w:pPr>
      <w:r>
        <w:t xml:space="preserve">6.3 Ongoing</w:t>
      </w:r>
    </w:p>
    <w:p>
      <w:pPr>
        <w:pStyle w:val="ListParagraph"/>
        <w:numPr>
          <w:ilvl w:val="0"/>
          <w:numId w:val="2"/>
        </w:numPr>
        <w:spacing w:after="60"/>
      </w:pPr>
      <w:r>
        <w:t xml:space="preserve">Quarterly phishing simulations for finance/HR; annual security-awareness training for all staff</w:t>
      </w:r>
    </w:p>
    <w:p>
      <w:pPr>
        <w:pStyle w:val="ListParagraph"/>
        <w:numPr>
          <w:ilvl w:val="0"/>
          <w:numId w:val="2"/>
        </w:numPr>
        <w:spacing w:after="60"/>
      </w:pPr>
      <w:r>
        <w:t xml:space="preserve">Twice-yearly backup restoration test for ERP/finance systems</w:t>
      </w:r>
    </w:p>
    <w:p>
      <w:pPr>
        <w:pStyle w:val="ListParagraph"/>
        <w:numPr>
          <w:ilvl w:val="0"/>
          <w:numId w:val="2"/>
        </w:numPr>
        <w:spacing w:after="60"/>
      </w:pPr>
      <w:r>
        <w:t xml:space="preserve">Annual review of this risk assessment and the asset inventory</w:t>
      </w:r>
    </w:p>
    <w:p>
      <w:r>
        <w:br w:type="page"/>
      </w:r>
    </w:p>
    <w:p>
      <w:pPr>
        <w:pStyle w:val="Heading1"/>
        <w:spacing w:after="200" w:before="400"/>
      </w:pPr>
      <w:r>
        <w:t xml:space="preserve">7. Conclusion</w:t>
      </w:r>
    </w:p>
    <w:p>
      <w:pPr>
        <w:spacing w:after="120"/>
      </w:pPr>
      <w:r>
        <w:t xml:space="preserve">Meridian’s highest-consequence risks concentrate in two areas: financial-system compromise (ransomware and business email compromise against ERP/finance) and regulatory data integrity (environmental compliance reporting). Both are addressed by controls that are well-understood, achievable within the near-term window, and proportionate to Meridian’s size — this is not a call for enterprise-scale security spend, but for closing a small number of specific, identified gaps: dual-approval on financial transactions, an independent look at the customer-facing portal, and integrity checks on regulator-facing data. Executing the near-term roadmap in Section 6 would move all three Critical/High residual risks into the Medium band within one quarter.</w:t>
      </w:r>
    </w:p>
    <w:p>
      <w:r>
        <w:br w:type="page"/>
      </w:r>
    </w:p>
    <w:p>
      <w:pPr>
        <w:pStyle w:val="Heading1"/>
        <w:spacing w:after="200" w:before="400"/>
      </w:pPr>
      <w:r>
        <w:t xml:space="preserve">Appendix A: Glossary</w:t>
      </w:r>
    </w:p>
    <w:p>
      <w:pPr>
        <w:pStyle w:val="ListParagraph"/>
        <w:numPr>
          <w:ilvl w:val="0"/>
          <w:numId w:val="2"/>
        </w:numPr>
        <w:spacing w:after="60"/>
      </w:pPr>
      <w:r>
        <w:t xml:space="preserve">CIA Triad: Confidentiality, Integrity, Availability — the three properties security controls protect.</w:t>
      </w:r>
    </w:p>
    <w:p>
      <w:pPr>
        <w:pStyle w:val="ListParagraph"/>
        <w:numPr>
          <w:ilvl w:val="0"/>
          <w:numId w:val="2"/>
        </w:numPr>
        <w:spacing w:after="60"/>
      </w:pPr>
      <w:r>
        <w:t xml:space="preserve">Inherent Risk: The risk level assuming no controls are in place.</w:t>
      </w:r>
    </w:p>
    <w:p>
      <w:pPr>
        <w:pStyle w:val="ListParagraph"/>
        <w:numPr>
          <w:ilvl w:val="0"/>
          <w:numId w:val="2"/>
        </w:numPr>
        <w:spacing w:after="60"/>
      </w:pPr>
      <w:r>
        <w:t xml:space="preserve">Residual Risk: The risk level remaining after accounting for existing controls.</w:t>
      </w:r>
    </w:p>
    <w:p>
      <w:pPr>
        <w:pStyle w:val="ListParagraph"/>
        <w:numPr>
          <w:ilvl w:val="0"/>
          <w:numId w:val="2"/>
        </w:numPr>
        <w:spacing w:after="60"/>
      </w:pPr>
      <w:r>
        <w:t xml:space="preserve">NIST CSF: The NIST Cybersecurity Framework, organizing controls into five Functions — Identify, Protect, Detect, Respond, Recover.</w:t>
      </w:r>
    </w:p>
    <w:p>
      <w:pPr>
        <w:pStyle w:val="ListParagraph"/>
        <w:numPr>
          <w:ilvl w:val="0"/>
          <w:numId w:val="2"/>
        </w:numPr>
        <w:spacing w:after="60"/>
      </w:pPr>
      <w:r>
        <w:t xml:space="preserve">MDM: Mobile Device Management — software that enforces security policy (encryption, remote wipe, PIN) on mobile devices.</w:t>
      </w:r>
    </w:p>
    <w:p>
      <w:pPr>
        <w:pStyle w:val="ListParagraph"/>
        <w:numPr>
          <w:ilvl w:val="0"/>
          <w:numId w:val="2"/>
        </w:numPr>
        <w:spacing w:after="60"/>
      </w:pPr>
      <w:r>
        <w:t xml:space="preserve">BEC: Business Email Compromise — a social-engineering attack using a compromised or spoofed business email account to trigger fraudulent action, typically a wire transfer.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2026-08-19T02:39:16.737Z</dcterms:created>
  <dcterms:modified xsi:type="dcterms:W3CDTF">2026-08-19T02:39:16.737Z</dcterms:modified>
</cp:coreProperties>
</file>

<file path=docProps/custom.xml><?xml version="1.0" encoding="utf-8"?>
<Properties xmlns="http://schemas.openxmlformats.org/officeDocument/2006/custom-properties" xmlns:vt="http://schemas.openxmlformats.org/officeDocument/2006/docPropsVTypes"/>
</file>